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0D7515" w:rsidRPr="00AA50F5" w:rsidRDefault="007D6E20">
      <w:pPr>
        <w:bidi/>
        <w:jc w:val="center"/>
        <w:rPr>
          <w:rFonts w:ascii="Noto Serif Hebrew" w:eastAsia="Noto Serif Hebrew" w:hAnsi="Noto Serif Hebrew" w:cs="Noto Serif Hebrew"/>
          <w:bCs/>
          <w:sz w:val="46"/>
          <w:szCs w:val="46"/>
        </w:rPr>
      </w:pPr>
      <w:r w:rsidRPr="00AA50F5">
        <w:rPr>
          <w:rFonts w:ascii="Noto Serif Hebrew" w:eastAsia="Noto Serif Hebrew" w:hAnsi="Noto Serif Hebrew" w:cs="Noto Serif Hebrew" w:hint="cs"/>
          <w:bCs/>
          <w:sz w:val="46"/>
          <w:szCs w:val="46"/>
          <w:rtl/>
        </w:rPr>
        <w:t>ק</w:t>
      </w:r>
      <w:r w:rsidRPr="00AA50F5">
        <w:rPr>
          <w:rFonts w:ascii="Noto Serif Hebrew" w:eastAsia="Noto Serif Hebrew" w:hAnsi="Noto Serif Hebrew" w:cs="Noto Serif Hebrew"/>
          <w:bCs/>
          <w:sz w:val="46"/>
          <w:szCs w:val="46"/>
          <w:rtl/>
        </w:rPr>
        <w:t>ובץ הלכות ודגשים לשבת ארגון</w:t>
      </w:r>
    </w:p>
    <w:p w14:paraId="00000002" w14:textId="77777777" w:rsidR="000D7515" w:rsidRDefault="007D6E20">
      <w:pPr>
        <w:bidi/>
        <w:jc w:val="center"/>
        <w:rPr>
          <w:rFonts w:ascii="Noto Serif Hebrew SemiBold" w:eastAsia="Noto Serif Hebrew SemiBold" w:hAnsi="Noto Serif Hebrew SemiBold" w:cs="Noto Serif Hebrew SemiBold"/>
          <w:sz w:val="43"/>
          <w:szCs w:val="43"/>
        </w:rPr>
      </w:pPr>
      <w:r>
        <w:rPr>
          <w:rFonts w:ascii="Noto Serif Hebrew SemiBold" w:eastAsia="Noto Serif Hebrew SemiBold" w:hAnsi="Noto Serif Hebrew SemiBold" w:cs="Noto Serif Hebrew SemiBold"/>
          <w:sz w:val="43"/>
          <w:szCs w:val="43"/>
          <w:rtl/>
        </w:rPr>
        <w:t>עבור שליחים, קומונריות ומדריכים</w:t>
      </w:r>
    </w:p>
    <w:p w14:paraId="00000003" w14:textId="77777777" w:rsidR="000D7515" w:rsidRPr="00D062CC" w:rsidRDefault="007D6E20">
      <w:pPr>
        <w:pStyle w:val="2"/>
        <w:jc w:val="both"/>
        <w:rPr>
          <w:b w:val="0"/>
          <w:bCs/>
          <w:sz w:val="36"/>
          <w:szCs w:val="36"/>
        </w:rPr>
      </w:pPr>
      <w:bookmarkStart w:id="0" w:name="_heading=h.gjdgxs" w:colFirst="0" w:colLast="0"/>
      <w:bookmarkEnd w:id="0"/>
      <w:r w:rsidRPr="00D062CC">
        <w:rPr>
          <w:b w:val="0"/>
          <w:bCs/>
          <w:sz w:val="36"/>
          <w:szCs w:val="36"/>
          <w:rtl/>
        </w:rPr>
        <w:t>הקדמה</w:t>
      </w:r>
    </w:p>
    <w:p w14:paraId="00000005" w14:textId="52AFB850" w:rsidR="000D7515" w:rsidRDefault="007D6E20" w:rsidP="00D062CC">
      <w:pPr>
        <w:bidi/>
        <w:jc w:val="both"/>
        <w:rPr>
          <w:sz w:val="24"/>
          <w:szCs w:val="24"/>
        </w:rPr>
      </w:pPr>
      <w:r>
        <w:rPr>
          <w:sz w:val="24"/>
          <w:szCs w:val="24"/>
          <w:rtl/>
        </w:rPr>
        <w:t xml:space="preserve">שבת ארגון מזמנת כמה אתגרים </w:t>
      </w:r>
      <w:proofErr w:type="spellStart"/>
      <w:r>
        <w:rPr>
          <w:sz w:val="24"/>
          <w:szCs w:val="24"/>
          <w:rtl/>
        </w:rPr>
        <w:t>ובלת"מים</w:t>
      </w:r>
      <w:proofErr w:type="spellEnd"/>
      <w:r>
        <w:rPr>
          <w:sz w:val="24"/>
          <w:szCs w:val="24"/>
          <w:rtl/>
        </w:rPr>
        <w:t xml:space="preserve"> הלכתיים, בנושאים כמו קידוש והבדלה, תפילה, הכנה מקודש לחול, מוקצה ועוד. בחוברת קצרה זו השתדלנו לרכז את ההלכות שעונות על השאלות והבעיות המצויות בשבת ארגון, בשפה בהירה ובליווי המקורות (אין בחוברת זו את כל ההלכות שנתקלים בהן בשבת, אלא רק את אלו שהשאלות והמכשלות בהן מצויות).</w:t>
      </w:r>
    </w:p>
    <w:p w14:paraId="00000006" w14:textId="77777777" w:rsidR="000D7515" w:rsidRDefault="007D6E20">
      <w:pPr>
        <w:bidi/>
        <w:jc w:val="both"/>
        <w:rPr>
          <w:sz w:val="24"/>
          <w:szCs w:val="24"/>
        </w:rPr>
      </w:pPr>
      <w:r>
        <w:rPr>
          <w:sz w:val="24"/>
          <w:szCs w:val="24"/>
          <w:rtl/>
        </w:rPr>
        <w:t xml:space="preserve">"החכם עיניו בראשו" - אם הקומונרית, המדריכים וכדו' יתארגנו מראש, בעיות רבות יפתרו בצורה הטובה ביותר - יין לקידוש והבדלה, חלוקת עליות עוד לפני השבת, גלילת ספר התורה לפרשה הנכונה, כיבוי האור במקרר, שעון שבת לפלטה, נר ובשמים להבדלה </w:t>
      </w:r>
      <w:proofErr w:type="spellStart"/>
      <w:r>
        <w:rPr>
          <w:sz w:val="24"/>
          <w:szCs w:val="24"/>
          <w:rtl/>
        </w:rPr>
        <w:t>וכו</w:t>
      </w:r>
      <w:proofErr w:type="spellEnd"/>
      <w:r>
        <w:rPr>
          <w:sz w:val="24"/>
          <w:szCs w:val="24"/>
          <w:rtl/>
        </w:rPr>
        <w:t xml:space="preserve">'. רבות מן ההלכות פה הן עבור מצבי קצה, שמי שיתארגן לא יצטרך להגיע אליהם. </w:t>
      </w:r>
    </w:p>
    <w:p w14:paraId="00000007" w14:textId="77777777" w:rsidR="000D7515" w:rsidRDefault="007D6E20">
      <w:pPr>
        <w:bidi/>
        <w:jc w:val="both"/>
        <w:rPr>
          <w:sz w:val="24"/>
          <w:szCs w:val="24"/>
        </w:rPr>
      </w:pPr>
      <w:r>
        <w:rPr>
          <w:sz w:val="24"/>
          <w:szCs w:val="24"/>
          <w:rtl/>
        </w:rPr>
        <w:t xml:space="preserve">נעיר, שלהכנה מראש יש תפקיד חינוכי וחווייתי, ולא רק הלכתי. אמנם אם אין נר ובשמים להבדלה, לא חייבים לחזר אחריהם, ואם אין בעל קורא אז מסתדרים בלעדיו. אבל האווירה הדתית (והכללית) בסניף שהתארגן כראוי להבדלה, לתפילה </w:t>
      </w:r>
      <w:proofErr w:type="spellStart"/>
      <w:r>
        <w:rPr>
          <w:sz w:val="24"/>
          <w:szCs w:val="24"/>
          <w:rtl/>
        </w:rPr>
        <w:t>וכו</w:t>
      </w:r>
      <w:proofErr w:type="spellEnd"/>
      <w:r>
        <w:rPr>
          <w:sz w:val="24"/>
          <w:szCs w:val="24"/>
          <w:rtl/>
        </w:rPr>
        <w:t>', והכל אצלו 'מתקתק', תהיה טובה יותר.</w:t>
      </w:r>
    </w:p>
    <w:p w14:paraId="00000008" w14:textId="77777777" w:rsidR="000D7515" w:rsidRDefault="007D6E20">
      <w:pPr>
        <w:bidi/>
        <w:jc w:val="both"/>
        <w:rPr>
          <w:sz w:val="24"/>
          <w:szCs w:val="24"/>
        </w:rPr>
      </w:pPr>
      <w:r>
        <w:rPr>
          <w:sz w:val="24"/>
          <w:szCs w:val="24"/>
          <w:rtl/>
        </w:rPr>
        <w:t xml:space="preserve">החוברת עברה את אישורו של </w:t>
      </w:r>
      <w:r w:rsidRPr="00AA50F5">
        <w:rPr>
          <w:bCs/>
          <w:sz w:val="24"/>
          <w:szCs w:val="24"/>
          <w:rtl/>
        </w:rPr>
        <w:t>הרב אלישע אבינר</w:t>
      </w:r>
      <w:r>
        <w:rPr>
          <w:sz w:val="24"/>
          <w:szCs w:val="24"/>
        </w:rPr>
        <w:t>.</w:t>
      </w:r>
    </w:p>
    <w:p w14:paraId="00000009" w14:textId="77777777" w:rsidR="000D7515" w:rsidRDefault="007D6E20">
      <w:pPr>
        <w:bidi/>
        <w:jc w:val="both"/>
        <w:rPr>
          <w:sz w:val="24"/>
          <w:szCs w:val="24"/>
          <w:rtl/>
        </w:rPr>
      </w:pPr>
      <w:r>
        <w:rPr>
          <w:sz w:val="24"/>
          <w:szCs w:val="24"/>
          <w:rtl/>
        </w:rPr>
        <w:t>אנו תקווה שהדברים יתקבלו, ויהיו לתועלת הרבים.</w:t>
      </w:r>
    </w:p>
    <w:p w14:paraId="03632EC4" w14:textId="3F561BC5" w:rsidR="00050AB2" w:rsidRDefault="00685053" w:rsidP="00050AB2">
      <w:pPr>
        <w:bidi/>
        <w:jc w:val="both"/>
        <w:rPr>
          <w:sz w:val="24"/>
          <w:szCs w:val="24"/>
          <w:rtl/>
        </w:rPr>
      </w:pPr>
      <w:r>
        <w:rPr>
          <w:rFonts w:hint="cs"/>
          <w:sz w:val="24"/>
          <w:szCs w:val="24"/>
          <w:rtl/>
        </w:rPr>
        <w:t xml:space="preserve">הערה: </w:t>
      </w:r>
      <w:r w:rsidR="00050AB2">
        <w:rPr>
          <w:rFonts w:hint="cs"/>
          <w:sz w:val="24"/>
          <w:szCs w:val="24"/>
          <w:rtl/>
        </w:rPr>
        <w:t>הקובץ המקוון יותר מעודכן בדרך כלל</w:t>
      </w:r>
      <w:r>
        <w:rPr>
          <w:rFonts w:hint="cs"/>
          <w:sz w:val="24"/>
          <w:szCs w:val="24"/>
          <w:rtl/>
        </w:rPr>
        <w:t>, הנה קישור -</w:t>
      </w:r>
      <w:r w:rsidR="00400CAF">
        <w:rPr>
          <w:rFonts w:hint="cs"/>
          <w:sz w:val="24"/>
          <w:szCs w:val="24"/>
          <w:rtl/>
        </w:rPr>
        <w:t xml:space="preserve"> </w:t>
      </w:r>
      <w:hyperlink r:id="rId7" w:history="1">
        <w:r w:rsidR="00050AB2">
          <w:rPr>
            <w:rStyle w:val="Hyperlink"/>
            <w:sz w:val="24"/>
            <w:szCs w:val="24"/>
            <w:rtl/>
            <w:lang w:bidi="he"/>
          </w:rPr>
          <w:t>קובץ הלכות</w:t>
        </w:r>
      </w:hyperlink>
      <w:r w:rsidR="00050AB2">
        <w:rPr>
          <w:rFonts w:hint="cs"/>
          <w:sz w:val="24"/>
          <w:szCs w:val="24"/>
        </w:rPr>
        <w:t>.</w:t>
      </w:r>
    </w:p>
    <w:p w14:paraId="0000000A" w14:textId="2AE3E209" w:rsidR="000D7515" w:rsidRDefault="007D6E20" w:rsidP="00050AB2">
      <w:pPr>
        <w:bidi/>
        <w:jc w:val="both"/>
        <w:rPr>
          <w:sz w:val="24"/>
          <w:szCs w:val="24"/>
        </w:rPr>
      </w:pPr>
      <w:r>
        <w:rPr>
          <w:sz w:val="24"/>
          <w:szCs w:val="24"/>
          <w:rtl/>
        </w:rPr>
        <w:t xml:space="preserve">דביר, חשוון </w:t>
      </w:r>
      <w:proofErr w:type="spellStart"/>
      <w:r>
        <w:rPr>
          <w:sz w:val="24"/>
          <w:szCs w:val="24"/>
          <w:rtl/>
        </w:rPr>
        <w:t>תשפ"ה</w:t>
      </w:r>
      <w:proofErr w:type="spellEnd"/>
      <w:r>
        <w:rPr>
          <w:sz w:val="24"/>
          <w:szCs w:val="24"/>
          <w:rtl/>
        </w:rPr>
        <w:t>.</w:t>
      </w:r>
    </w:p>
    <w:p w14:paraId="0000000B" w14:textId="77777777" w:rsidR="000D7515" w:rsidRPr="00AA50F5" w:rsidRDefault="007D6E20">
      <w:pPr>
        <w:pStyle w:val="2"/>
        <w:jc w:val="both"/>
        <w:rPr>
          <w:b w:val="0"/>
          <w:bCs/>
          <w:sz w:val="36"/>
          <w:szCs w:val="36"/>
        </w:rPr>
      </w:pPr>
      <w:bookmarkStart w:id="1" w:name="_heading=h.30j0zll" w:colFirst="0" w:colLast="0"/>
      <w:bookmarkEnd w:id="1"/>
      <w:r w:rsidRPr="00AA50F5">
        <w:rPr>
          <w:b w:val="0"/>
          <w:bCs/>
          <w:sz w:val="36"/>
          <w:szCs w:val="36"/>
          <w:rtl/>
        </w:rPr>
        <w:t>הדלקת נרות</w:t>
      </w:r>
    </w:p>
    <w:p w14:paraId="0000000C" w14:textId="77777777" w:rsidR="000D7515" w:rsidRDefault="007D6E20">
      <w:pPr>
        <w:bidi/>
        <w:jc w:val="both"/>
        <w:rPr>
          <w:sz w:val="24"/>
          <w:szCs w:val="24"/>
        </w:rPr>
      </w:pPr>
      <w:r>
        <w:rPr>
          <w:sz w:val="24"/>
          <w:szCs w:val="24"/>
          <w:rtl/>
        </w:rPr>
        <w:t xml:space="preserve">א. אם אוכלים בערב סעודת </w:t>
      </w:r>
      <w:proofErr w:type="spellStart"/>
      <w:r>
        <w:rPr>
          <w:sz w:val="24"/>
          <w:szCs w:val="24"/>
          <w:rtl/>
        </w:rPr>
        <w:t>חב"ב</w:t>
      </w:r>
      <w:proofErr w:type="spellEnd"/>
      <w:r>
        <w:rPr>
          <w:sz w:val="24"/>
          <w:szCs w:val="24"/>
          <w:rtl/>
        </w:rPr>
        <w:t xml:space="preserve">, צוות וכדו', צריך להדליק נרות בברכה במקום בו אוכלים </w:t>
      </w:r>
      <w:r>
        <w:rPr>
          <w:sz w:val="20"/>
          <w:szCs w:val="20"/>
          <w:rtl/>
        </w:rPr>
        <w:t xml:space="preserve">(עיין </w:t>
      </w:r>
      <w:proofErr w:type="spellStart"/>
      <w:r>
        <w:rPr>
          <w:sz w:val="20"/>
          <w:szCs w:val="20"/>
          <w:rtl/>
        </w:rPr>
        <w:t>רעג</w:t>
      </w:r>
      <w:proofErr w:type="spellEnd"/>
      <w:r>
        <w:rPr>
          <w:sz w:val="20"/>
          <w:szCs w:val="20"/>
          <w:rtl/>
        </w:rPr>
        <w:t>, ז ובאחרונים)</w:t>
      </w:r>
      <w:r>
        <w:rPr>
          <w:sz w:val="24"/>
          <w:szCs w:val="24"/>
        </w:rPr>
        <w:t>.</w:t>
      </w:r>
    </w:p>
    <w:p w14:paraId="0000000D" w14:textId="77777777" w:rsidR="000D7515" w:rsidRPr="00AA50F5" w:rsidRDefault="007D6E20">
      <w:pPr>
        <w:pStyle w:val="2"/>
        <w:jc w:val="both"/>
        <w:rPr>
          <w:b w:val="0"/>
          <w:bCs/>
          <w:sz w:val="36"/>
          <w:szCs w:val="36"/>
        </w:rPr>
      </w:pPr>
      <w:bookmarkStart w:id="2" w:name="_heading=h.1fob9te" w:colFirst="0" w:colLast="0"/>
      <w:bookmarkEnd w:id="2"/>
      <w:r w:rsidRPr="00AA50F5">
        <w:rPr>
          <w:b w:val="0"/>
          <w:bCs/>
          <w:sz w:val="36"/>
          <w:szCs w:val="36"/>
          <w:rtl/>
        </w:rPr>
        <w:t>תפילה</w:t>
      </w:r>
    </w:p>
    <w:p w14:paraId="0000000E" w14:textId="77777777" w:rsidR="000D7515" w:rsidRDefault="007D6E20">
      <w:pPr>
        <w:bidi/>
        <w:jc w:val="both"/>
        <w:rPr>
          <w:sz w:val="24"/>
          <w:szCs w:val="24"/>
        </w:rPr>
      </w:pPr>
      <w:r>
        <w:rPr>
          <w:sz w:val="24"/>
          <w:szCs w:val="24"/>
          <w:rtl/>
        </w:rPr>
        <w:t xml:space="preserve">א. צריך להתפלל מנחה לפני שקיעה, אפילו אם אין מניין </w:t>
      </w:r>
      <w:r>
        <w:rPr>
          <w:sz w:val="20"/>
          <w:szCs w:val="20"/>
          <w:rtl/>
        </w:rPr>
        <w:t xml:space="preserve">(עיין סיכום דברי הפוסקים </w:t>
      </w:r>
      <w:proofErr w:type="spellStart"/>
      <w:r>
        <w:rPr>
          <w:sz w:val="20"/>
          <w:szCs w:val="20"/>
          <w:rtl/>
        </w:rPr>
        <w:t>בפנה"ל</w:t>
      </w:r>
      <w:proofErr w:type="spellEnd"/>
      <w:r>
        <w:rPr>
          <w:sz w:val="20"/>
          <w:szCs w:val="20"/>
          <w:rtl/>
        </w:rPr>
        <w:t>, שבת, ג, ה)</w:t>
      </w:r>
      <w:r>
        <w:rPr>
          <w:sz w:val="24"/>
          <w:szCs w:val="24"/>
        </w:rPr>
        <w:t>.</w:t>
      </w:r>
    </w:p>
    <w:p w14:paraId="0000000F" w14:textId="77777777" w:rsidR="000D7515" w:rsidRDefault="007D6E20">
      <w:pPr>
        <w:bidi/>
        <w:jc w:val="both"/>
        <w:rPr>
          <w:sz w:val="24"/>
          <w:szCs w:val="24"/>
        </w:rPr>
      </w:pPr>
      <w:r>
        <w:rPr>
          <w:sz w:val="24"/>
          <w:szCs w:val="24"/>
          <w:rtl/>
        </w:rPr>
        <w:t xml:space="preserve">ב. בבוקר, צריך לקרוא קריאת שמע לפני סוף הזמן (בערך 8:30 בתחילת אוקטובר, 9:00 בסוף דצמבר [שיטת </w:t>
      </w:r>
      <w:proofErr w:type="spellStart"/>
      <w:r>
        <w:rPr>
          <w:sz w:val="24"/>
          <w:szCs w:val="24"/>
          <w:rtl/>
        </w:rPr>
        <w:t>הגר"א</w:t>
      </w:r>
      <w:proofErr w:type="spellEnd"/>
      <w:r>
        <w:rPr>
          <w:sz w:val="24"/>
          <w:szCs w:val="24"/>
          <w:rtl/>
        </w:rPr>
        <w:t>]).</w:t>
      </w:r>
    </w:p>
    <w:p w14:paraId="00000010" w14:textId="77777777" w:rsidR="000D7515" w:rsidRDefault="007D6E20">
      <w:pPr>
        <w:bidi/>
        <w:jc w:val="both"/>
        <w:rPr>
          <w:sz w:val="24"/>
          <w:szCs w:val="24"/>
        </w:rPr>
      </w:pPr>
      <w:r>
        <w:rPr>
          <w:sz w:val="24"/>
          <w:szCs w:val="24"/>
          <w:rtl/>
        </w:rPr>
        <w:t xml:space="preserve">ג. צריך להתפלל עמידה של שחרית לפני סוף הזמן (כשעה אחרי סוף זמן קריאת שמע [שיטת </w:t>
      </w:r>
      <w:proofErr w:type="spellStart"/>
      <w:r>
        <w:rPr>
          <w:sz w:val="24"/>
          <w:szCs w:val="24"/>
          <w:rtl/>
        </w:rPr>
        <w:t>הגר"א</w:t>
      </w:r>
      <w:proofErr w:type="spellEnd"/>
      <w:r>
        <w:rPr>
          <w:sz w:val="24"/>
          <w:szCs w:val="24"/>
          <w:rtl/>
        </w:rPr>
        <w:t>]).</w:t>
      </w:r>
    </w:p>
    <w:p w14:paraId="00000011" w14:textId="77777777" w:rsidR="000D7515" w:rsidRDefault="007D6E20">
      <w:pPr>
        <w:bidi/>
        <w:jc w:val="both"/>
        <w:rPr>
          <w:sz w:val="24"/>
          <w:szCs w:val="24"/>
        </w:rPr>
      </w:pPr>
      <w:r>
        <w:rPr>
          <w:sz w:val="24"/>
          <w:szCs w:val="24"/>
          <w:rtl/>
        </w:rPr>
        <w:t xml:space="preserve">ד. כשאין בעל קורא שבקי בקריאת הפרשה - יש להעדיף את מי שיודע לקרוא את המילים נכון, מאשר מי שיודע טוב את הטעמים אך טועה בהגיית המילים </w:t>
      </w:r>
      <w:r>
        <w:rPr>
          <w:sz w:val="20"/>
          <w:szCs w:val="20"/>
          <w:rtl/>
        </w:rPr>
        <w:t xml:space="preserve">(עיין סימן </w:t>
      </w:r>
      <w:proofErr w:type="spellStart"/>
      <w:r>
        <w:rPr>
          <w:sz w:val="20"/>
          <w:szCs w:val="20"/>
          <w:rtl/>
        </w:rPr>
        <w:t>קמב</w:t>
      </w:r>
      <w:proofErr w:type="spellEnd"/>
      <w:r>
        <w:rPr>
          <w:sz w:val="20"/>
          <w:szCs w:val="20"/>
          <w:rtl/>
        </w:rPr>
        <w:t>)</w:t>
      </w:r>
      <w:r>
        <w:rPr>
          <w:sz w:val="24"/>
          <w:szCs w:val="24"/>
        </w:rPr>
        <w:t>.</w:t>
      </w:r>
    </w:p>
    <w:p w14:paraId="00000012" w14:textId="77777777" w:rsidR="000D7515" w:rsidRDefault="007D6E20">
      <w:pPr>
        <w:bidi/>
        <w:jc w:val="both"/>
        <w:rPr>
          <w:sz w:val="24"/>
          <w:szCs w:val="24"/>
        </w:rPr>
      </w:pPr>
      <w:r>
        <w:rPr>
          <w:sz w:val="24"/>
          <w:szCs w:val="24"/>
          <w:rtl/>
        </w:rPr>
        <w:t>ה. אפשר לחלק את הקריאה לאנשים שונים, וכך כל אחד יצטרך ללמוד קטע קצר יותר.</w:t>
      </w:r>
    </w:p>
    <w:p w14:paraId="00000013" w14:textId="77777777" w:rsidR="000D7515" w:rsidRPr="007D6E20" w:rsidRDefault="007D6E20">
      <w:pPr>
        <w:pStyle w:val="2"/>
        <w:jc w:val="both"/>
        <w:rPr>
          <w:b w:val="0"/>
          <w:bCs/>
          <w:sz w:val="36"/>
          <w:szCs w:val="36"/>
        </w:rPr>
      </w:pPr>
      <w:bookmarkStart w:id="3" w:name="_heading=h.3znysh7" w:colFirst="0" w:colLast="0"/>
      <w:bookmarkEnd w:id="3"/>
      <w:r w:rsidRPr="007D6E20">
        <w:rPr>
          <w:b w:val="0"/>
          <w:bCs/>
          <w:sz w:val="36"/>
          <w:szCs w:val="36"/>
          <w:rtl/>
        </w:rPr>
        <w:t>קידוש</w:t>
      </w:r>
    </w:p>
    <w:p w14:paraId="00000014" w14:textId="77777777" w:rsidR="000D7515" w:rsidRDefault="007D6E20">
      <w:pPr>
        <w:bidi/>
        <w:jc w:val="both"/>
        <w:rPr>
          <w:sz w:val="24"/>
          <w:szCs w:val="24"/>
        </w:rPr>
      </w:pPr>
      <w:r>
        <w:rPr>
          <w:sz w:val="24"/>
          <w:szCs w:val="24"/>
          <w:rtl/>
        </w:rPr>
        <w:t xml:space="preserve">א. גם בערב וגם בבוקר, צריך המקדש (או מישהו אחר) לשתות מהיין כמלוא לוגמיו, שהוא רוב רביעית (כשליש כוס חד פעמית), וכל השומעים יוצאים בזה ידי חובה </w:t>
      </w:r>
      <w:r>
        <w:rPr>
          <w:sz w:val="20"/>
          <w:szCs w:val="20"/>
          <w:rtl/>
        </w:rPr>
        <w:t>(</w:t>
      </w:r>
      <w:proofErr w:type="spellStart"/>
      <w:r>
        <w:rPr>
          <w:sz w:val="20"/>
          <w:szCs w:val="20"/>
          <w:rtl/>
        </w:rPr>
        <w:t>רעא</w:t>
      </w:r>
      <w:proofErr w:type="spellEnd"/>
      <w:r>
        <w:rPr>
          <w:sz w:val="20"/>
          <w:szCs w:val="20"/>
          <w:rtl/>
        </w:rPr>
        <w:t xml:space="preserve">, </w:t>
      </w:r>
      <w:proofErr w:type="spellStart"/>
      <w:r>
        <w:rPr>
          <w:sz w:val="20"/>
          <w:szCs w:val="20"/>
          <w:rtl/>
        </w:rPr>
        <w:t>יג</w:t>
      </w:r>
      <w:proofErr w:type="spellEnd"/>
      <w:r>
        <w:rPr>
          <w:sz w:val="20"/>
          <w:szCs w:val="20"/>
          <w:rtl/>
        </w:rPr>
        <w:t>-יד)</w:t>
      </w:r>
      <w:r>
        <w:rPr>
          <w:sz w:val="24"/>
          <w:szCs w:val="24"/>
          <w:rtl/>
        </w:rPr>
        <w:t xml:space="preserve">. והמקלים ששתיית כמה אנשים מצטרפת, יש להם על מי לסמוך </w:t>
      </w:r>
      <w:r>
        <w:rPr>
          <w:sz w:val="20"/>
          <w:szCs w:val="20"/>
          <w:rtl/>
        </w:rPr>
        <w:t>(ביאור הלכה שם)</w:t>
      </w:r>
      <w:r>
        <w:rPr>
          <w:sz w:val="24"/>
          <w:szCs w:val="24"/>
        </w:rPr>
        <w:t>.</w:t>
      </w:r>
    </w:p>
    <w:p w14:paraId="00000015" w14:textId="77777777" w:rsidR="000D7515" w:rsidRDefault="007D6E20">
      <w:pPr>
        <w:bidi/>
        <w:jc w:val="both"/>
        <w:rPr>
          <w:sz w:val="24"/>
          <w:szCs w:val="24"/>
        </w:rPr>
      </w:pPr>
      <w:r>
        <w:rPr>
          <w:sz w:val="24"/>
          <w:szCs w:val="24"/>
          <w:rtl/>
        </w:rPr>
        <w:t xml:space="preserve">ב. אם אין מספיק יין, אפשר לערבב במים, עד חצי כוס, ובלבד </w:t>
      </w:r>
      <w:proofErr w:type="spellStart"/>
      <w:r>
        <w:rPr>
          <w:sz w:val="24"/>
          <w:szCs w:val="24"/>
          <w:rtl/>
        </w:rPr>
        <w:t>שישארו</w:t>
      </w:r>
      <w:proofErr w:type="spellEnd"/>
      <w:r>
        <w:rPr>
          <w:sz w:val="24"/>
          <w:szCs w:val="24"/>
          <w:rtl/>
        </w:rPr>
        <w:t xml:space="preserve"> כ4% אלכוהול. כלומר, ביין רגיל אפשר למזוג חצי כוס, אבל ביינות מתוקים וזולים עדיף שלא למזוג כלל </w:t>
      </w:r>
      <w:r>
        <w:rPr>
          <w:sz w:val="20"/>
          <w:szCs w:val="20"/>
          <w:rtl/>
        </w:rPr>
        <w:t xml:space="preserve">(ראה </w:t>
      </w:r>
      <w:proofErr w:type="spellStart"/>
      <w:r>
        <w:rPr>
          <w:sz w:val="20"/>
          <w:szCs w:val="20"/>
          <w:rtl/>
        </w:rPr>
        <w:t>פנה"ל</w:t>
      </w:r>
      <w:proofErr w:type="spellEnd"/>
      <w:r>
        <w:rPr>
          <w:sz w:val="20"/>
          <w:szCs w:val="20"/>
          <w:rtl/>
        </w:rPr>
        <w:t xml:space="preserve"> ברכות, ז, ה)</w:t>
      </w:r>
      <w:r>
        <w:rPr>
          <w:sz w:val="24"/>
          <w:szCs w:val="24"/>
        </w:rPr>
        <w:t>.</w:t>
      </w:r>
    </w:p>
    <w:p w14:paraId="00000016" w14:textId="77777777" w:rsidR="000D7515" w:rsidRDefault="007D6E20">
      <w:pPr>
        <w:bidi/>
        <w:jc w:val="both"/>
        <w:rPr>
          <w:sz w:val="24"/>
          <w:szCs w:val="24"/>
        </w:rPr>
      </w:pPr>
      <w:r>
        <w:rPr>
          <w:sz w:val="24"/>
          <w:szCs w:val="24"/>
          <w:rtl/>
        </w:rPr>
        <w:lastRenderedPageBreak/>
        <w:t xml:space="preserve">ג. מיץ ענבים נחלקו האחרונים אם אפשר </w:t>
      </w:r>
      <w:proofErr w:type="spellStart"/>
      <w:r>
        <w:rPr>
          <w:sz w:val="24"/>
          <w:szCs w:val="24"/>
          <w:rtl/>
        </w:rPr>
        <w:t>למוזגו</w:t>
      </w:r>
      <w:proofErr w:type="spellEnd"/>
      <w:r>
        <w:rPr>
          <w:sz w:val="24"/>
          <w:szCs w:val="24"/>
          <w:rtl/>
        </w:rPr>
        <w:t>, וכמה</w:t>
      </w:r>
      <w:r>
        <w:rPr>
          <w:sz w:val="24"/>
          <w:szCs w:val="24"/>
          <w:vertAlign w:val="superscript"/>
        </w:rPr>
        <w:footnoteReference w:id="1"/>
      </w:r>
      <w:r>
        <w:rPr>
          <w:sz w:val="24"/>
          <w:szCs w:val="24"/>
        </w:rPr>
        <w:t>.</w:t>
      </w:r>
    </w:p>
    <w:p w14:paraId="00000017" w14:textId="77777777" w:rsidR="000D7515" w:rsidRDefault="007D6E20">
      <w:pPr>
        <w:bidi/>
        <w:jc w:val="both"/>
        <w:rPr>
          <w:sz w:val="24"/>
          <w:szCs w:val="24"/>
        </w:rPr>
      </w:pPr>
      <w:r>
        <w:rPr>
          <w:sz w:val="24"/>
          <w:szCs w:val="24"/>
          <w:rtl/>
        </w:rPr>
        <w:t xml:space="preserve">ד. יין שנשאר בכוס לאחר ששתו ממנו, נחשב פגום, ואין לקדש עליו </w:t>
      </w:r>
      <w:r>
        <w:rPr>
          <w:sz w:val="20"/>
          <w:szCs w:val="20"/>
          <w:rtl/>
        </w:rPr>
        <w:t>(</w:t>
      </w:r>
      <w:proofErr w:type="spellStart"/>
      <w:r>
        <w:rPr>
          <w:sz w:val="20"/>
          <w:szCs w:val="20"/>
          <w:rtl/>
        </w:rPr>
        <w:t>רעא</w:t>
      </w:r>
      <w:proofErr w:type="spellEnd"/>
      <w:r>
        <w:rPr>
          <w:sz w:val="20"/>
          <w:szCs w:val="20"/>
          <w:rtl/>
        </w:rPr>
        <w:t>, י)</w:t>
      </w:r>
      <w:r>
        <w:rPr>
          <w:sz w:val="24"/>
          <w:szCs w:val="24"/>
          <w:rtl/>
        </w:rPr>
        <w:t xml:space="preserve">. אפשר לתקנו בהוספת קצת יין מהבקבוק, ובשעת הדחק יכול לקדש על יין פגום </w:t>
      </w:r>
      <w:r>
        <w:rPr>
          <w:sz w:val="20"/>
          <w:szCs w:val="20"/>
          <w:rtl/>
        </w:rPr>
        <w:t>(</w:t>
      </w:r>
      <w:proofErr w:type="spellStart"/>
      <w:r>
        <w:rPr>
          <w:sz w:val="20"/>
          <w:szCs w:val="20"/>
          <w:rtl/>
        </w:rPr>
        <w:t>משנ"ב</w:t>
      </w:r>
      <w:proofErr w:type="spellEnd"/>
      <w:r>
        <w:rPr>
          <w:sz w:val="20"/>
          <w:szCs w:val="20"/>
          <w:rtl/>
        </w:rPr>
        <w:t xml:space="preserve"> שם, מג)</w:t>
      </w:r>
      <w:r>
        <w:rPr>
          <w:sz w:val="24"/>
          <w:szCs w:val="24"/>
        </w:rPr>
        <w:t>.</w:t>
      </w:r>
    </w:p>
    <w:p w14:paraId="00000018" w14:textId="77777777" w:rsidR="000D7515" w:rsidRDefault="007D6E20">
      <w:pPr>
        <w:bidi/>
        <w:jc w:val="both"/>
        <w:rPr>
          <w:sz w:val="24"/>
          <w:szCs w:val="24"/>
        </w:rPr>
      </w:pPr>
      <w:r>
        <w:rPr>
          <w:sz w:val="24"/>
          <w:szCs w:val="24"/>
          <w:rtl/>
        </w:rPr>
        <w:t xml:space="preserve">ה. יש </w:t>
      </w:r>
      <w:proofErr w:type="spellStart"/>
      <w:r>
        <w:rPr>
          <w:sz w:val="24"/>
          <w:szCs w:val="24"/>
          <w:rtl/>
        </w:rPr>
        <w:t>להזהר</w:t>
      </w:r>
      <w:proofErr w:type="spellEnd"/>
      <w:r>
        <w:rPr>
          <w:sz w:val="24"/>
          <w:szCs w:val="24"/>
          <w:rtl/>
        </w:rPr>
        <w:t xml:space="preserve"> שהיין לא </w:t>
      </w:r>
      <w:proofErr w:type="spellStart"/>
      <w:r>
        <w:rPr>
          <w:sz w:val="24"/>
          <w:szCs w:val="24"/>
          <w:rtl/>
        </w:rPr>
        <w:t>ישאר</w:t>
      </w:r>
      <w:proofErr w:type="spellEnd"/>
      <w:r>
        <w:rPr>
          <w:sz w:val="24"/>
          <w:szCs w:val="24"/>
          <w:rtl/>
        </w:rPr>
        <w:t xml:space="preserve"> מגולה (ללא כיסוי) במשך הלילה </w:t>
      </w:r>
      <w:r>
        <w:rPr>
          <w:sz w:val="20"/>
          <w:szCs w:val="20"/>
          <w:rtl/>
        </w:rPr>
        <w:t>(רעב, א ובאחרונים)</w:t>
      </w:r>
      <w:r>
        <w:rPr>
          <w:sz w:val="24"/>
          <w:szCs w:val="24"/>
        </w:rPr>
        <w:t>.</w:t>
      </w:r>
    </w:p>
    <w:p w14:paraId="00000019" w14:textId="77777777" w:rsidR="000D7515" w:rsidRDefault="007D6E20">
      <w:pPr>
        <w:bidi/>
        <w:jc w:val="both"/>
        <w:rPr>
          <w:sz w:val="24"/>
          <w:szCs w:val="24"/>
        </w:rPr>
      </w:pPr>
      <w:r>
        <w:rPr>
          <w:sz w:val="24"/>
          <w:szCs w:val="24"/>
          <w:rtl/>
        </w:rPr>
        <w:t>ו. אם אין יין, יכול לקדש על לחם. ובקידוש הבוקר, יש אומרים שיקדש על 'חמר מדינה' (ראה בהערה)</w:t>
      </w:r>
      <w:r>
        <w:rPr>
          <w:sz w:val="24"/>
          <w:szCs w:val="24"/>
          <w:vertAlign w:val="superscript"/>
        </w:rPr>
        <w:footnoteReference w:id="2"/>
      </w:r>
      <w:r>
        <w:rPr>
          <w:sz w:val="24"/>
          <w:szCs w:val="24"/>
        </w:rPr>
        <w:t xml:space="preserve"> </w:t>
      </w:r>
      <w:r>
        <w:rPr>
          <w:sz w:val="20"/>
          <w:szCs w:val="20"/>
          <w:rtl/>
        </w:rPr>
        <w:t>(רעב, ט)</w:t>
      </w:r>
      <w:r>
        <w:rPr>
          <w:sz w:val="24"/>
          <w:szCs w:val="24"/>
        </w:rPr>
        <w:t>.</w:t>
      </w:r>
    </w:p>
    <w:p w14:paraId="0000001A" w14:textId="77777777" w:rsidR="000D7515" w:rsidRDefault="007D6E20">
      <w:pPr>
        <w:bidi/>
        <w:jc w:val="both"/>
        <w:rPr>
          <w:sz w:val="24"/>
          <w:szCs w:val="24"/>
        </w:rPr>
      </w:pPr>
      <w:r>
        <w:rPr>
          <w:sz w:val="24"/>
          <w:szCs w:val="24"/>
          <w:rtl/>
        </w:rPr>
        <w:t xml:space="preserve">ז. מקדשים רק במקום בו אוכלים סעודה. אכילה של כזית מזונות, או שתיית רביעית יין נחשבת כסעודה לעניין זה </w:t>
      </w:r>
      <w:r>
        <w:rPr>
          <w:sz w:val="20"/>
          <w:szCs w:val="20"/>
          <w:rtl/>
        </w:rPr>
        <w:t>(</w:t>
      </w:r>
      <w:proofErr w:type="spellStart"/>
      <w:r>
        <w:rPr>
          <w:sz w:val="20"/>
          <w:szCs w:val="20"/>
          <w:rtl/>
        </w:rPr>
        <w:t>רעג</w:t>
      </w:r>
      <w:proofErr w:type="spellEnd"/>
      <w:r>
        <w:rPr>
          <w:sz w:val="20"/>
          <w:szCs w:val="20"/>
          <w:rtl/>
        </w:rPr>
        <w:t xml:space="preserve">, ה </w:t>
      </w:r>
      <w:proofErr w:type="spellStart"/>
      <w:r>
        <w:rPr>
          <w:sz w:val="20"/>
          <w:szCs w:val="20"/>
          <w:rtl/>
        </w:rPr>
        <w:t>ובמשנ"ב</w:t>
      </w:r>
      <w:proofErr w:type="spellEnd"/>
      <w:r>
        <w:rPr>
          <w:sz w:val="20"/>
          <w:szCs w:val="20"/>
          <w:rtl/>
        </w:rPr>
        <w:t xml:space="preserve"> שם)</w:t>
      </w:r>
      <w:r>
        <w:rPr>
          <w:sz w:val="24"/>
          <w:szCs w:val="24"/>
          <w:rtl/>
        </w:rPr>
        <w:t>. (לא לשכוח ברכה אחרונה).</w:t>
      </w:r>
    </w:p>
    <w:p w14:paraId="0000001B" w14:textId="77777777" w:rsidR="000D7515" w:rsidRPr="007D6E20" w:rsidRDefault="007D6E20">
      <w:pPr>
        <w:pStyle w:val="2"/>
        <w:jc w:val="both"/>
        <w:rPr>
          <w:b w:val="0"/>
          <w:bCs/>
          <w:sz w:val="36"/>
          <w:szCs w:val="36"/>
        </w:rPr>
      </w:pPr>
      <w:bookmarkStart w:id="4" w:name="_heading=h.2et92p0" w:colFirst="0" w:colLast="0"/>
      <w:bookmarkEnd w:id="4"/>
      <w:r w:rsidRPr="007D6E20">
        <w:rPr>
          <w:b w:val="0"/>
          <w:bCs/>
          <w:sz w:val="36"/>
          <w:szCs w:val="36"/>
          <w:rtl/>
        </w:rPr>
        <w:t>סעודות</w:t>
      </w:r>
    </w:p>
    <w:p w14:paraId="0000001C" w14:textId="77777777" w:rsidR="000D7515" w:rsidRDefault="007D6E20">
      <w:pPr>
        <w:bidi/>
        <w:jc w:val="both"/>
        <w:rPr>
          <w:sz w:val="24"/>
          <w:szCs w:val="24"/>
        </w:rPr>
      </w:pPr>
      <w:r>
        <w:rPr>
          <w:sz w:val="24"/>
          <w:szCs w:val="24"/>
          <w:rtl/>
        </w:rPr>
        <w:t xml:space="preserve">א. צריך לאכול סעודה שלישית. וגם בה צריך לחם משנה, וצריך לאכול בה לפחות כביצה פת </w:t>
      </w:r>
      <w:r>
        <w:rPr>
          <w:sz w:val="20"/>
          <w:szCs w:val="20"/>
          <w:rtl/>
        </w:rPr>
        <w:t>(</w:t>
      </w:r>
      <w:proofErr w:type="spellStart"/>
      <w:r>
        <w:rPr>
          <w:sz w:val="20"/>
          <w:szCs w:val="20"/>
          <w:rtl/>
        </w:rPr>
        <w:t>רצא</w:t>
      </w:r>
      <w:proofErr w:type="spellEnd"/>
      <w:r>
        <w:rPr>
          <w:sz w:val="20"/>
          <w:szCs w:val="20"/>
          <w:rtl/>
        </w:rPr>
        <w:t>, א; ד)</w:t>
      </w:r>
      <w:r>
        <w:rPr>
          <w:sz w:val="24"/>
          <w:szCs w:val="24"/>
        </w:rPr>
        <w:t xml:space="preserve">. </w:t>
      </w:r>
    </w:p>
    <w:p w14:paraId="0000001D" w14:textId="77777777" w:rsidR="000D7515" w:rsidRDefault="007D6E20">
      <w:pPr>
        <w:bidi/>
        <w:jc w:val="both"/>
        <w:rPr>
          <w:sz w:val="24"/>
          <w:szCs w:val="24"/>
        </w:rPr>
      </w:pPr>
      <w:r>
        <w:rPr>
          <w:sz w:val="24"/>
          <w:szCs w:val="24"/>
          <w:rtl/>
        </w:rPr>
        <w:t xml:space="preserve">ב. אם אין אפשרות לאכול לחם בסעודה שלישית, ניתן לאכול מזונות, ואם אין אפשרות כזו – יאכל לכל הפחות תבשיל כלשהו, ואפילו פירות </w:t>
      </w:r>
      <w:r>
        <w:rPr>
          <w:sz w:val="20"/>
          <w:szCs w:val="20"/>
          <w:rtl/>
        </w:rPr>
        <w:t>(</w:t>
      </w:r>
      <w:proofErr w:type="spellStart"/>
      <w:r>
        <w:rPr>
          <w:sz w:val="20"/>
          <w:szCs w:val="20"/>
          <w:rtl/>
        </w:rPr>
        <w:t>רצא</w:t>
      </w:r>
      <w:proofErr w:type="spellEnd"/>
      <w:r>
        <w:rPr>
          <w:sz w:val="20"/>
          <w:szCs w:val="20"/>
          <w:rtl/>
        </w:rPr>
        <w:t>, ה)</w:t>
      </w:r>
      <w:r>
        <w:rPr>
          <w:sz w:val="24"/>
          <w:szCs w:val="24"/>
          <w:rtl/>
        </w:rPr>
        <w:t xml:space="preserve">. פתרון פשוט הוא לקנות בשישי שתי פיתות, ולאכול אותן בצהריים, בזמן החופשי </w:t>
      </w:r>
      <w:proofErr w:type="spellStart"/>
      <w:r>
        <w:rPr>
          <w:sz w:val="24"/>
          <w:szCs w:val="24"/>
          <w:rtl/>
        </w:rPr>
        <w:t>בלו"ז</w:t>
      </w:r>
      <w:proofErr w:type="spellEnd"/>
      <w:r>
        <w:rPr>
          <w:sz w:val="24"/>
          <w:szCs w:val="24"/>
          <w:rtl/>
        </w:rPr>
        <w:t>.</w:t>
      </w:r>
    </w:p>
    <w:p w14:paraId="0000001E" w14:textId="77777777" w:rsidR="000D7515" w:rsidRDefault="007D6E20">
      <w:pPr>
        <w:bidi/>
        <w:jc w:val="both"/>
        <w:rPr>
          <w:sz w:val="24"/>
          <w:szCs w:val="24"/>
        </w:rPr>
      </w:pPr>
      <w:r>
        <w:rPr>
          <w:sz w:val="24"/>
          <w:szCs w:val="24"/>
          <w:rtl/>
        </w:rPr>
        <w:t xml:space="preserve">ג. זמן סעודה שלישית משש וחצי שעות (כלומר, דקות ספורות לפני 12 בתחילת נובמבר, בערך 12:15 בסוף דצמבר). אם צריך, אפשר לברך ברכת המזון אחרי סעודת הבוקר, לשהות מעט או לטייל מעט, ואז לאכול סעודה שלישית </w:t>
      </w:r>
      <w:r>
        <w:rPr>
          <w:sz w:val="20"/>
          <w:szCs w:val="20"/>
          <w:rtl/>
        </w:rPr>
        <w:t>(</w:t>
      </w:r>
      <w:proofErr w:type="spellStart"/>
      <w:r>
        <w:rPr>
          <w:sz w:val="20"/>
          <w:szCs w:val="20"/>
          <w:rtl/>
        </w:rPr>
        <w:t>רצא</w:t>
      </w:r>
      <w:proofErr w:type="spellEnd"/>
      <w:r>
        <w:rPr>
          <w:sz w:val="20"/>
          <w:szCs w:val="20"/>
          <w:rtl/>
        </w:rPr>
        <w:t>, ב-ג)</w:t>
      </w:r>
      <w:r>
        <w:rPr>
          <w:sz w:val="24"/>
          <w:szCs w:val="24"/>
        </w:rPr>
        <w:t>.</w:t>
      </w:r>
    </w:p>
    <w:p w14:paraId="0000001F" w14:textId="77777777" w:rsidR="000D7515" w:rsidRDefault="007D6E20">
      <w:pPr>
        <w:bidi/>
        <w:jc w:val="both"/>
        <w:rPr>
          <w:sz w:val="24"/>
          <w:szCs w:val="24"/>
        </w:rPr>
      </w:pPr>
      <w:r>
        <w:rPr>
          <w:sz w:val="24"/>
          <w:szCs w:val="24"/>
          <w:rtl/>
        </w:rPr>
        <w:t xml:space="preserve">ד. יש לשים לב שלא משנים מקום סעודה באמצע הסעודה, לדוגמה במקרה בו השבטים יושבים לסעודת שבת בחדרים שונים, ורוצים לעבור ביניהם. באופן כללי, יש שתי אפשרויות: (א) להשאיר מישהו (אפילו חניך או חניכה קטנים) במקום הסעודה, ואחר כך לחזור ולהמשיך את הסעודה. (ב) לברך ברכת המזון איפה שאוכלים, ומשם להמשיך לבקר את שאר השבטים. </w:t>
      </w:r>
      <w:r>
        <w:rPr>
          <w:sz w:val="20"/>
          <w:szCs w:val="20"/>
          <w:rtl/>
        </w:rPr>
        <w:t xml:space="preserve">(להרחבה ראה </w:t>
      </w:r>
      <w:proofErr w:type="spellStart"/>
      <w:r>
        <w:rPr>
          <w:sz w:val="20"/>
          <w:szCs w:val="20"/>
          <w:rtl/>
        </w:rPr>
        <w:t>פנה"ל</w:t>
      </w:r>
      <w:proofErr w:type="spellEnd"/>
      <w:r>
        <w:rPr>
          <w:sz w:val="20"/>
          <w:szCs w:val="20"/>
          <w:rtl/>
        </w:rPr>
        <w:t xml:space="preserve"> ברכות, ט, ז)</w:t>
      </w:r>
      <w:r>
        <w:rPr>
          <w:sz w:val="24"/>
          <w:szCs w:val="24"/>
        </w:rPr>
        <w:t>.</w:t>
      </w:r>
    </w:p>
    <w:p w14:paraId="00000020" w14:textId="77777777" w:rsidR="000D7515" w:rsidRPr="007D6E20" w:rsidRDefault="007D6E20">
      <w:pPr>
        <w:pStyle w:val="2"/>
        <w:jc w:val="both"/>
        <w:rPr>
          <w:b w:val="0"/>
          <w:bCs/>
          <w:sz w:val="36"/>
          <w:szCs w:val="36"/>
        </w:rPr>
      </w:pPr>
      <w:bookmarkStart w:id="5" w:name="_heading=h.tyjcwt" w:colFirst="0" w:colLast="0"/>
      <w:bookmarkEnd w:id="5"/>
      <w:r w:rsidRPr="007D6E20">
        <w:rPr>
          <w:b w:val="0"/>
          <w:bCs/>
          <w:sz w:val="36"/>
          <w:szCs w:val="36"/>
          <w:rtl/>
        </w:rPr>
        <w:t>הבדלה</w:t>
      </w:r>
    </w:p>
    <w:p w14:paraId="00000021" w14:textId="77777777" w:rsidR="000D7515" w:rsidRDefault="007D6E20">
      <w:pPr>
        <w:bidi/>
        <w:jc w:val="both"/>
        <w:rPr>
          <w:sz w:val="24"/>
          <w:szCs w:val="24"/>
        </w:rPr>
      </w:pPr>
      <w:r>
        <w:rPr>
          <w:sz w:val="24"/>
          <w:szCs w:val="24"/>
          <w:rtl/>
        </w:rPr>
        <w:t>א. כאשר אין יין להבדלה, נהגו להקל שאפשר להבדיל על חמר מדינה (ראה הערה 2).</w:t>
      </w:r>
    </w:p>
    <w:p w14:paraId="00000022" w14:textId="77777777" w:rsidR="000D7515" w:rsidRDefault="007D6E20">
      <w:pPr>
        <w:bidi/>
        <w:jc w:val="both"/>
        <w:rPr>
          <w:sz w:val="24"/>
          <w:szCs w:val="24"/>
        </w:rPr>
      </w:pPr>
      <w:r>
        <w:rPr>
          <w:sz w:val="24"/>
          <w:szCs w:val="24"/>
          <w:rtl/>
        </w:rPr>
        <w:t xml:space="preserve">ב. אם אין בשמים ונר, לא צריך לטרוח יותר מדי להביא אותם </w:t>
      </w:r>
      <w:r>
        <w:rPr>
          <w:sz w:val="20"/>
          <w:szCs w:val="20"/>
          <w:rtl/>
        </w:rPr>
        <w:t>(</w:t>
      </w:r>
      <w:proofErr w:type="spellStart"/>
      <w:r>
        <w:rPr>
          <w:sz w:val="20"/>
          <w:szCs w:val="20"/>
          <w:rtl/>
        </w:rPr>
        <w:t>רצז</w:t>
      </w:r>
      <w:proofErr w:type="spellEnd"/>
      <w:r>
        <w:rPr>
          <w:sz w:val="20"/>
          <w:szCs w:val="20"/>
          <w:rtl/>
        </w:rPr>
        <w:t>, א; רצח, א)</w:t>
      </w:r>
      <w:r>
        <w:rPr>
          <w:sz w:val="24"/>
          <w:szCs w:val="24"/>
        </w:rPr>
        <w:t>.</w:t>
      </w:r>
    </w:p>
    <w:p w14:paraId="00000023" w14:textId="77777777" w:rsidR="000D7515" w:rsidRPr="007D6E20" w:rsidRDefault="007D6E20">
      <w:pPr>
        <w:pStyle w:val="2"/>
        <w:jc w:val="both"/>
        <w:rPr>
          <w:b w:val="0"/>
          <w:bCs/>
          <w:sz w:val="36"/>
          <w:szCs w:val="36"/>
        </w:rPr>
      </w:pPr>
      <w:bookmarkStart w:id="6" w:name="_heading=h.3dy6vkm" w:colFirst="0" w:colLast="0"/>
      <w:bookmarkEnd w:id="6"/>
      <w:r w:rsidRPr="007D6E20">
        <w:rPr>
          <w:b w:val="0"/>
          <w:bCs/>
          <w:sz w:val="36"/>
          <w:szCs w:val="36"/>
          <w:rtl/>
        </w:rPr>
        <w:t>מוקצה</w:t>
      </w:r>
    </w:p>
    <w:p w14:paraId="00000024" w14:textId="77777777" w:rsidR="000D7515" w:rsidRDefault="007D6E20">
      <w:pPr>
        <w:bidi/>
        <w:jc w:val="both"/>
        <w:rPr>
          <w:sz w:val="24"/>
          <w:szCs w:val="24"/>
        </w:rPr>
      </w:pPr>
      <w:r>
        <w:rPr>
          <w:sz w:val="24"/>
          <w:szCs w:val="24"/>
          <w:rtl/>
        </w:rPr>
        <w:t xml:space="preserve">א. מותר לטלטל מוקצה כלאחר יד, דהיינו עם המרפק, עם הרגל וכדו' </w:t>
      </w:r>
      <w:r>
        <w:rPr>
          <w:sz w:val="20"/>
          <w:szCs w:val="20"/>
          <w:rtl/>
        </w:rPr>
        <w:t>(שיא, ח)</w:t>
      </w:r>
      <w:r>
        <w:rPr>
          <w:sz w:val="24"/>
          <w:szCs w:val="24"/>
        </w:rPr>
        <w:t>.</w:t>
      </w:r>
    </w:p>
    <w:p w14:paraId="00000025" w14:textId="77777777" w:rsidR="000D7515" w:rsidRDefault="007D6E20">
      <w:pPr>
        <w:bidi/>
        <w:jc w:val="both"/>
        <w:rPr>
          <w:sz w:val="24"/>
          <w:szCs w:val="24"/>
        </w:rPr>
      </w:pPr>
      <w:r>
        <w:rPr>
          <w:sz w:val="24"/>
          <w:szCs w:val="24"/>
          <w:rtl/>
        </w:rPr>
        <w:t xml:space="preserve">ב. כלי שמלאכתו לאיסור (פטיש, צבת וכדו'), מותר לטלטלו ביד אם זה לצורך גופו או מקומו. כלומר, לצורך שימוש המותר בשבת או בכדי להשתמש במקום בו הוא נמצא </w:t>
      </w:r>
      <w:r>
        <w:rPr>
          <w:sz w:val="20"/>
          <w:szCs w:val="20"/>
          <w:rtl/>
        </w:rPr>
        <w:t>(שח, ג)</w:t>
      </w:r>
      <w:r>
        <w:rPr>
          <w:sz w:val="24"/>
          <w:szCs w:val="24"/>
        </w:rPr>
        <w:t>.</w:t>
      </w:r>
    </w:p>
    <w:p w14:paraId="00000026" w14:textId="77777777" w:rsidR="000D7515" w:rsidRDefault="007D6E20">
      <w:pPr>
        <w:bidi/>
        <w:jc w:val="both"/>
        <w:rPr>
          <w:sz w:val="24"/>
          <w:szCs w:val="24"/>
        </w:rPr>
      </w:pPr>
      <w:r>
        <w:rPr>
          <w:sz w:val="24"/>
          <w:szCs w:val="24"/>
          <w:rtl/>
        </w:rPr>
        <w:lastRenderedPageBreak/>
        <w:t xml:space="preserve">ג. מוקצה מחמת חסרון כיס, הוא חפץ שמקפידים שלא להשתמש בו לשימושים אחרים, כיוון שהוא יקר ועדין, כמו טלפון חכם (לחלק מהשיטות), ואותו אין לטלטל (גם לא כלאחר יד, כמבואר לעיל) </w:t>
      </w:r>
      <w:r>
        <w:rPr>
          <w:sz w:val="20"/>
          <w:szCs w:val="20"/>
          <w:rtl/>
        </w:rPr>
        <w:t>(שח, א)</w:t>
      </w:r>
      <w:r>
        <w:rPr>
          <w:sz w:val="24"/>
          <w:szCs w:val="24"/>
        </w:rPr>
        <w:t>.</w:t>
      </w:r>
    </w:p>
    <w:p w14:paraId="00000027" w14:textId="77777777" w:rsidR="000D7515" w:rsidRDefault="007D6E20">
      <w:pPr>
        <w:bidi/>
        <w:jc w:val="both"/>
        <w:rPr>
          <w:sz w:val="24"/>
          <w:szCs w:val="24"/>
        </w:rPr>
      </w:pPr>
      <w:r>
        <w:rPr>
          <w:sz w:val="24"/>
          <w:szCs w:val="24"/>
          <w:rtl/>
        </w:rPr>
        <w:t xml:space="preserve">ד. מותר לטלטל מוקצה באמצעות נשיפה עליו </w:t>
      </w:r>
      <w:r>
        <w:rPr>
          <w:sz w:val="20"/>
          <w:szCs w:val="20"/>
          <w:rtl/>
        </w:rPr>
        <w:t xml:space="preserve">(שח, </w:t>
      </w:r>
      <w:proofErr w:type="spellStart"/>
      <w:r>
        <w:rPr>
          <w:sz w:val="20"/>
          <w:szCs w:val="20"/>
          <w:rtl/>
        </w:rPr>
        <w:t>מא</w:t>
      </w:r>
      <w:proofErr w:type="spellEnd"/>
      <w:r>
        <w:rPr>
          <w:sz w:val="20"/>
          <w:szCs w:val="20"/>
          <w:rtl/>
        </w:rPr>
        <w:t>)</w:t>
      </w:r>
      <w:r>
        <w:rPr>
          <w:sz w:val="24"/>
          <w:szCs w:val="24"/>
        </w:rPr>
        <w:t>.</w:t>
      </w:r>
    </w:p>
    <w:p w14:paraId="00000028" w14:textId="77777777" w:rsidR="000D7515" w:rsidRDefault="007D6E20">
      <w:pPr>
        <w:bidi/>
        <w:jc w:val="both"/>
        <w:rPr>
          <w:b/>
          <w:sz w:val="24"/>
          <w:szCs w:val="24"/>
        </w:rPr>
      </w:pPr>
      <w:r>
        <w:rPr>
          <w:sz w:val="24"/>
          <w:szCs w:val="24"/>
          <w:rtl/>
        </w:rPr>
        <w:t xml:space="preserve">ה. חפץ, שולחן וכדו' שלפני שבת הונח עליו מוקצה בכוונה (ונשאר שם לשבת), נעשה בסיס לדבר האסור, ונחשב מוקצה. ואם בנוסף יש עליו חפצים של היתר, הרי הוא בסיס לדבר האסור והמותר. מותר לטלטלו, רק אם חפצי ההיתר חשובים יותר מהמוקצה שהונח עליו </w:t>
      </w:r>
      <w:r>
        <w:rPr>
          <w:sz w:val="20"/>
          <w:szCs w:val="20"/>
          <w:rtl/>
        </w:rPr>
        <w:t>(שי, ח)</w:t>
      </w:r>
      <w:r>
        <w:rPr>
          <w:sz w:val="24"/>
          <w:szCs w:val="24"/>
          <w:rtl/>
        </w:rPr>
        <w:t xml:space="preserve">. אבל אם שכח את המוקצה שם, הרי אין הכלי נעשה בסיס </w:t>
      </w:r>
      <w:r>
        <w:rPr>
          <w:sz w:val="20"/>
          <w:szCs w:val="20"/>
          <w:rtl/>
        </w:rPr>
        <w:t>(שט, ד)</w:t>
      </w:r>
      <w:r>
        <w:rPr>
          <w:sz w:val="24"/>
          <w:szCs w:val="24"/>
          <w:rtl/>
        </w:rPr>
        <w:t xml:space="preserve">. לכן, תיק שיש בו בגדים, וכן ארנק וכדו', יהיה אסור לטלטלו, מפני שבוודאי הארנק הטלפון וכדו' חשובים יותר מהבגדים </w:t>
      </w:r>
      <w:r>
        <w:rPr>
          <w:sz w:val="20"/>
          <w:szCs w:val="20"/>
          <w:rtl/>
        </w:rPr>
        <w:t xml:space="preserve">(תורת המחנה, </w:t>
      </w:r>
      <w:proofErr w:type="spellStart"/>
      <w:r>
        <w:rPr>
          <w:sz w:val="20"/>
          <w:szCs w:val="20"/>
          <w:rtl/>
        </w:rPr>
        <w:t>מז</w:t>
      </w:r>
      <w:proofErr w:type="spellEnd"/>
      <w:r>
        <w:rPr>
          <w:sz w:val="20"/>
          <w:szCs w:val="20"/>
          <w:rtl/>
        </w:rPr>
        <w:t>, ט)</w:t>
      </w:r>
      <w:r>
        <w:rPr>
          <w:sz w:val="24"/>
          <w:szCs w:val="24"/>
          <w:rtl/>
        </w:rPr>
        <w:t>. אפשר פשוט להוציא מראש את החפצים המוקצים, ולהניחם בצד, וכך יהיה ניתן להשתמש בתיק ללא חשש.</w:t>
      </w:r>
    </w:p>
    <w:p w14:paraId="00000029" w14:textId="77777777" w:rsidR="000D7515" w:rsidRPr="007D6E20" w:rsidRDefault="007D6E20">
      <w:pPr>
        <w:pStyle w:val="2"/>
        <w:jc w:val="both"/>
        <w:rPr>
          <w:b w:val="0"/>
          <w:bCs/>
          <w:sz w:val="36"/>
          <w:szCs w:val="36"/>
        </w:rPr>
      </w:pPr>
      <w:bookmarkStart w:id="7" w:name="_heading=h.1t3h5sf" w:colFirst="0" w:colLast="0"/>
      <w:bookmarkEnd w:id="7"/>
      <w:r w:rsidRPr="007D6E20">
        <w:rPr>
          <w:b w:val="0"/>
          <w:bCs/>
          <w:sz w:val="36"/>
          <w:szCs w:val="36"/>
          <w:rtl/>
        </w:rPr>
        <w:t>הכנה מקודש לחול</w:t>
      </w:r>
    </w:p>
    <w:p w14:paraId="0000002A" w14:textId="77777777" w:rsidR="000D7515" w:rsidRDefault="007D6E20">
      <w:pPr>
        <w:bidi/>
        <w:jc w:val="both"/>
        <w:rPr>
          <w:sz w:val="24"/>
          <w:szCs w:val="24"/>
        </w:rPr>
      </w:pPr>
      <w:r>
        <w:rPr>
          <w:sz w:val="24"/>
          <w:szCs w:val="24"/>
          <w:rtl/>
        </w:rPr>
        <w:t xml:space="preserve">א. הכלל הוא, שמותר בשבת לתכנן דברים המותרים בשבת. כגון "נפגש במוצאי שבת לתהלוכה" וכדו'. אבל אסור לתכנן דברים האסורים בשבת, כגון "אחרי שבת אסע לירושלים". התירו האחרונים לומר "אלך לירושלים" (כיוון שעקרונית יכול ללכת גם בשבת, אם היה רצף התיישבותי) </w:t>
      </w:r>
      <w:r>
        <w:rPr>
          <w:sz w:val="20"/>
          <w:szCs w:val="20"/>
          <w:rtl/>
        </w:rPr>
        <w:t>(</w:t>
      </w:r>
      <w:proofErr w:type="spellStart"/>
      <w:r>
        <w:rPr>
          <w:sz w:val="20"/>
          <w:szCs w:val="20"/>
          <w:rtl/>
        </w:rPr>
        <w:t>שז</w:t>
      </w:r>
      <w:proofErr w:type="spellEnd"/>
      <w:r>
        <w:rPr>
          <w:sz w:val="20"/>
          <w:szCs w:val="20"/>
          <w:rtl/>
        </w:rPr>
        <w:t>, ח)</w:t>
      </w:r>
      <w:r>
        <w:rPr>
          <w:sz w:val="24"/>
          <w:szCs w:val="24"/>
        </w:rPr>
        <w:t>.</w:t>
      </w:r>
    </w:p>
    <w:p w14:paraId="0000002B" w14:textId="77777777" w:rsidR="000D7515" w:rsidRDefault="007D6E20">
      <w:pPr>
        <w:bidi/>
        <w:jc w:val="both"/>
        <w:rPr>
          <w:sz w:val="24"/>
          <w:szCs w:val="24"/>
        </w:rPr>
      </w:pPr>
      <w:r>
        <w:rPr>
          <w:sz w:val="24"/>
          <w:szCs w:val="24"/>
          <w:rtl/>
        </w:rPr>
        <w:t xml:space="preserve">ב. מותר לרמוז לדבר אסור, בדרך שאלה. כגון "חושבים שתוכלו </w:t>
      </w:r>
      <w:proofErr w:type="spellStart"/>
      <w:r>
        <w:rPr>
          <w:sz w:val="24"/>
          <w:szCs w:val="24"/>
          <w:rtl/>
        </w:rPr>
        <w:t>להפגש</w:t>
      </w:r>
      <w:proofErr w:type="spellEnd"/>
      <w:r>
        <w:rPr>
          <w:sz w:val="24"/>
          <w:szCs w:val="24"/>
          <w:rtl/>
        </w:rPr>
        <w:t xml:space="preserve"> בערב?" או "חושב שאוכל לבוא </w:t>
      </w:r>
      <w:proofErr w:type="spellStart"/>
      <w:r>
        <w:rPr>
          <w:sz w:val="24"/>
          <w:szCs w:val="24"/>
          <w:rtl/>
        </w:rPr>
        <w:t>איתך</w:t>
      </w:r>
      <w:proofErr w:type="spellEnd"/>
      <w:r>
        <w:rPr>
          <w:sz w:val="24"/>
          <w:szCs w:val="24"/>
          <w:rtl/>
        </w:rPr>
        <w:t xml:space="preserve"> לירושלים?" למרות שברור שמטרת המפגש היא נסיעה וכיוצא בזה מפעולות האסורות בשבת, מכיוון שזהו רמז בלבד, לפי הכלל "דיבור אסור, הרהור מותר" </w:t>
      </w:r>
      <w:r>
        <w:rPr>
          <w:sz w:val="20"/>
          <w:szCs w:val="20"/>
          <w:rtl/>
        </w:rPr>
        <w:t>(</w:t>
      </w:r>
      <w:proofErr w:type="spellStart"/>
      <w:r>
        <w:rPr>
          <w:sz w:val="20"/>
          <w:szCs w:val="20"/>
          <w:rtl/>
        </w:rPr>
        <w:t>שז</w:t>
      </w:r>
      <w:proofErr w:type="spellEnd"/>
      <w:r>
        <w:rPr>
          <w:sz w:val="20"/>
          <w:szCs w:val="20"/>
          <w:rtl/>
        </w:rPr>
        <w:t xml:space="preserve">, ז, </w:t>
      </w:r>
      <w:proofErr w:type="spellStart"/>
      <w:r>
        <w:rPr>
          <w:sz w:val="20"/>
          <w:szCs w:val="20"/>
          <w:rtl/>
        </w:rPr>
        <w:t>ובמשנ"ב</w:t>
      </w:r>
      <w:proofErr w:type="spellEnd"/>
      <w:r>
        <w:rPr>
          <w:sz w:val="20"/>
          <w:szCs w:val="20"/>
          <w:rtl/>
        </w:rPr>
        <w:t xml:space="preserve"> שם)</w:t>
      </w:r>
      <w:r>
        <w:rPr>
          <w:sz w:val="24"/>
          <w:szCs w:val="24"/>
        </w:rPr>
        <w:t>.</w:t>
      </w:r>
    </w:p>
    <w:p w14:paraId="0000002C" w14:textId="77777777" w:rsidR="000D7515" w:rsidRPr="007D6E20" w:rsidRDefault="007D6E20">
      <w:pPr>
        <w:pStyle w:val="2"/>
        <w:jc w:val="both"/>
        <w:rPr>
          <w:b w:val="0"/>
          <w:bCs/>
          <w:sz w:val="36"/>
          <w:szCs w:val="36"/>
        </w:rPr>
      </w:pPr>
      <w:bookmarkStart w:id="8" w:name="_heading=h.4d34og8" w:colFirst="0" w:colLast="0"/>
      <w:bookmarkEnd w:id="8"/>
      <w:r w:rsidRPr="007D6E20">
        <w:rPr>
          <w:b w:val="0"/>
          <w:bCs/>
          <w:sz w:val="36"/>
          <w:szCs w:val="36"/>
          <w:rtl/>
        </w:rPr>
        <w:t>כללים ומלאכות</w:t>
      </w:r>
    </w:p>
    <w:p w14:paraId="0000002D" w14:textId="77777777" w:rsidR="000D7515" w:rsidRDefault="007D6E20">
      <w:pPr>
        <w:bidi/>
        <w:jc w:val="both"/>
        <w:rPr>
          <w:sz w:val="24"/>
          <w:szCs w:val="24"/>
        </w:rPr>
      </w:pPr>
      <w:r>
        <w:rPr>
          <w:sz w:val="24"/>
          <w:szCs w:val="24"/>
          <w:rtl/>
        </w:rPr>
        <w:t xml:space="preserve">א. מותר לעשות מעשה, העשוי לגרור אחריו מלאכה, אם אין וודאות שהמלאכה תעשה. לכן מותר לגרור ספסל על הקרקע, כיוון שלא בטוח שיעשה חריץ (שזו מלאכה האסורה בשבת). דבר זה מכונה "אינו מתכוון". אך אם בטוח שיעשה החריץ, הרי זה "פסיק </w:t>
      </w:r>
      <w:proofErr w:type="spellStart"/>
      <w:r>
        <w:rPr>
          <w:sz w:val="24"/>
          <w:szCs w:val="24"/>
          <w:rtl/>
        </w:rPr>
        <w:t>רישיה</w:t>
      </w:r>
      <w:proofErr w:type="spellEnd"/>
      <w:r>
        <w:rPr>
          <w:sz w:val="24"/>
          <w:szCs w:val="24"/>
          <w:rtl/>
        </w:rPr>
        <w:t xml:space="preserve">" ואסור </w:t>
      </w:r>
      <w:r>
        <w:rPr>
          <w:sz w:val="20"/>
          <w:szCs w:val="20"/>
          <w:rtl/>
        </w:rPr>
        <w:t>(רמב"ם שבת א, ה-ו)</w:t>
      </w:r>
      <w:r>
        <w:rPr>
          <w:sz w:val="24"/>
          <w:szCs w:val="24"/>
        </w:rPr>
        <w:t>.</w:t>
      </w:r>
    </w:p>
    <w:p w14:paraId="0000002E" w14:textId="77777777" w:rsidR="000D7515" w:rsidRDefault="007D6E20">
      <w:pPr>
        <w:bidi/>
        <w:jc w:val="both"/>
        <w:rPr>
          <w:sz w:val="24"/>
          <w:szCs w:val="24"/>
        </w:rPr>
      </w:pPr>
      <w:r>
        <w:rPr>
          <w:sz w:val="24"/>
          <w:szCs w:val="24"/>
          <w:rtl/>
        </w:rPr>
        <w:t xml:space="preserve">ב. אם מהמעשה שעושה בוודאי יגרם איסור דרבנן, אלא שלא אכפת לו מהתוצאה של האיסור, הרי זה "פסיק </w:t>
      </w:r>
      <w:proofErr w:type="spellStart"/>
      <w:r>
        <w:rPr>
          <w:sz w:val="24"/>
          <w:szCs w:val="24"/>
          <w:rtl/>
        </w:rPr>
        <w:t>רישיה</w:t>
      </w:r>
      <w:proofErr w:type="spellEnd"/>
      <w:r>
        <w:rPr>
          <w:sz w:val="24"/>
          <w:szCs w:val="24"/>
          <w:rtl/>
        </w:rPr>
        <w:t xml:space="preserve"> דלא ניחא ליה בדרבנן", ולדעת פוסקים רבים מותר בשעת הצורך</w:t>
      </w:r>
      <w:r>
        <w:rPr>
          <w:sz w:val="24"/>
          <w:szCs w:val="24"/>
          <w:vertAlign w:val="superscript"/>
        </w:rPr>
        <w:footnoteReference w:id="3"/>
      </w:r>
      <w:r>
        <w:rPr>
          <w:sz w:val="24"/>
          <w:szCs w:val="24"/>
        </w:rPr>
        <w:t xml:space="preserve"> </w:t>
      </w:r>
      <w:r>
        <w:rPr>
          <w:sz w:val="20"/>
          <w:szCs w:val="20"/>
          <w:rtl/>
        </w:rPr>
        <w:t>(</w:t>
      </w:r>
      <w:proofErr w:type="spellStart"/>
      <w:r>
        <w:rPr>
          <w:sz w:val="20"/>
          <w:szCs w:val="20"/>
          <w:rtl/>
        </w:rPr>
        <w:t>משנ"ב</w:t>
      </w:r>
      <w:proofErr w:type="spellEnd"/>
      <w:r>
        <w:rPr>
          <w:sz w:val="20"/>
          <w:szCs w:val="20"/>
          <w:rtl/>
        </w:rPr>
        <w:t xml:space="preserve"> </w:t>
      </w:r>
      <w:proofErr w:type="spellStart"/>
      <w:r>
        <w:rPr>
          <w:sz w:val="20"/>
          <w:szCs w:val="20"/>
          <w:rtl/>
        </w:rPr>
        <w:t>שכא</w:t>
      </w:r>
      <w:proofErr w:type="spellEnd"/>
      <w:r>
        <w:rPr>
          <w:sz w:val="20"/>
          <w:szCs w:val="20"/>
          <w:rtl/>
        </w:rPr>
        <w:t xml:space="preserve">, </w:t>
      </w:r>
      <w:proofErr w:type="spellStart"/>
      <w:r>
        <w:rPr>
          <w:sz w:val="20"/>
          <w:szCs w:val="20"/>
          <w:rtl/>
        </w:rPr>
        <w:t>ס"ק</w:t>
      </w:r>
      <w:proofErr w:type="spellEnd"/>
      <w:r>
        <w:rPr>
          <w:sz w:val="20"/>
          <w:szCs w:val="20"/>
          <w:rtl/>
        </w:rPr>
        <w:t xml:space="preserve"> </w:t>
      </w:r>
      <w:proofErr w:type="spellStart"/>
      <w:r>
        <w:rPr>
          <w:sz w:val="20"/>
          <w:szCs w:val="20"/>
          <w:rtl/>
        </w:rPr>
        <w:t>נז</w:t>
      </w:r>
      <w:proofErr w:type="spellEnd"/>
      <w:r>
        <w:rPr>
          <w:sz w:val="20"/>
          <w:szCs w:val="20"/>
          <w:rtl/>
        </w:rPr>
        <w:t xml:space="preserve">; </w:t>
      </w:r>
      <w:proofErr w:type="spellStart"/>
      <w:r>
        <w:rPr>
          <w:sz w:val="20"/>
          <w:szCs w:val="20"/>
          <w:rtl/>
        </w:rPr>
        <w:t>יבי"א</w:t>
      </w:r>
      <w:proofErr w:type="spellEnd"/>
      <w:r>
        <w:rPr>
          <w:sz w:val="20"/>
          <w:szCs w:val="20"/>
          <w:rtl/>
        </w:rPr>
        <w:t xml:space="preserve"> </w:t>
      </w:r>
      <w:proofErr w:type="spellStart"/>
      <w:r>
        <w:rPr>
          <w:sz w:val="20"/>
          <w:szCs w:val="20"/>
          <w:rtl/>
        </w:rPr>
        <w:t>ח"ה</w:t>
      </w:r>
      <w:proofErr w:type="spellEnd"/>
      <w:r>
        <w:rPr>
          <w:sz w:val="20"/>
          <w:szCs w:val="20"/>
          <w:rtl/>
        </w:rPr>
        <w:t xml:space="preserve"> </w:t>
      </w:r>
      <w:proofErr w:type="spellStart"/>
      <w:r>
        <w:rPr>
          <w:sz w:val="20"/>
          <w:szCs w:val="20"/>
          <w:rtl/>
        </w:rPr>
        <w:t>כז</w:t>
      </w:r>
      <w:proofErr w:type="spellEnd"/>
      <w:r>
        <w:rPr>
          <w:sz w:val="20"/>
          <w:szCs w:val="20"/>
          <w:rtl/>
        </w:rPr>
        <w:t>-ל)</w:t>
      </w:r>
      <w:r>
        <w:rPr>
          <w:sz w:val="24"/>
          <w:szCs w:val="24"/>
        </w:rPr>
        <w:t>.</w:t>
      </w:r>
    </w:p>
    <w:p w14:paraId="0000002F" w14:textId="77777777" w:rsidR="000D7515" w:rsidRDefault="007D6E20">
      <w:pPr>
        <w:bidi/>
        <w:jc w:val="both"/>
        <w:rPr>
          <w:sz w:val="24"/>
          <w:szCs w:val="24"/>
        </w:rPr>
      </w:pPr>
      <w:r>
        <w:rPr>
          <w:sz w:val="24"/>
          <w:szCs w:val="24"/>
          <w:rtl/>
        </w:rPr>
        <w:t xml:space="preserve">ג. לפי המבואר לעיל, אסור ליטול ידיים מעל הקרקע </w:t>
      </w:r>
      <w:r>
        <w:rPr>
          <w:sz w:val="20"/>
          <w:szCs w:val="20"/>
          <w:rtl/>
        </w:rPr>
        <w:t>(שלו, ג)</w:t>
      </w:r>
      <w:r>
        <w:rPr>
          <w:sz w:val="24"/>
          <w:szCs w:val="24"/>
          <w:rtl/>
        </w:rPr>
        <w:t xml:space="preserve">. אבל אפשר בשעת הצורך ליטול ידיים על גבי אבן וכדו', אף שהמים נוזלים אח"כ לקרקע </w:t>
      </w:r>
      <w:r>
        <w:rPr>
          <w:sz w:val="20"/>
          <w:szCs w:val="20"/>
          <w:rtl/>
        </w:rPr>
        <w:t>(הלכה כסדרה, שבת שטח)</w:t>
      </w:r>
      <w:r>
        <w:rPr>
          <w:sz w:val="24"/>
          <w:szCs w:val="24"/>
          <w:rtl/>
        </w:rPr>
        <w:t xml:space="preserve">. מותר להשתין על הקרקע, כיוון שמי רגליים לא מצמיחים </w:t>
      </w:r>
      <w:r>
        <w:rPr>
          <w:sz w:val="20"/>
          <w:szCs w:val="20"/>
          <w:rtl/>
        </w:rPr>
        <w:t>(שלו, ג)</w:t>
      </w:r>
      <w:r>
        <w:rPr>
          <w:sz w:val="24"/>
          <w:szCs w:val="24"/>
        </w:rPr>
        <w:t>.</w:t>
      </w:r>
    </w:p>
    <w:p w14:paraId="00000030" w14:textId="77777777" w:rsidR="000D7515" w:rsidRDefault="007D6E20">
      <w:pPr>
        <w:bidi/>
        <w:jc w:val="both"/>
        <w:rPr>
          <w:sz w:val="24"/>
          <w:szCs w:val="24"/>
        </w:rPr>
      </w:pPr>
      <w:r>
        <w:rPr>
          <w:sz w:val="24"/>
          <w:szCs w:val="24"/>
          <w:rtl/>
        </w:rPr>
        <w:t xml:space="preserve">ד. דברים שאחרים מתירים – מותר לאוסר אותם </w:t>
      </w:r>
      <w:proofErr w:type="spellStart"/>
      <w:r>
        <w:rPr>
          <w:sz w:val="24"/>
          <w:szCs w:val="24"/>
          <w:rtl/>
        </w:rPr>
        <w:t>להנות</w:t>
      </w:r>
      <w:proofErr w:type="spellEnd"/>
      <w:r>
        <w:rPr>
          <w:sz w:val="24"/>
          <w:szCs w:val="24"/>
          <w:rtl/>
        </w:rPr>
        <w:t xml:space="preserve"> מהם אף שנעשו בשבת. כגון לאכול מרק שהניח תימני על הפלטה (למרות שספרדים ואשכנזים אוסרים זאת), או שאשכנזי החזיר לפלטה מרק שלא התקרר עדיין (למרות שספרדים אוסרים זאת) </w:t>
      </w:r>
      <w:r>
        <w:rPr>
          <w:sz w:val="20"/>
          <w:szCs w:val="20"/>
          <w:rtl/>
        </w:rPr>
        <w:t xml:space="preserve">(ראה </w:t>
      </w:r>
      <w:proofErr w:type="spellStart"/>
      <w:r>
        <w:rPr>
          <w:sz w:val="20"/>
          <w:szCs w:val="20"/>
          <w:rtl/>
        </w:rPr>
        <w:t>תחומין</w:t>
      </w:r>
      <w:proofErr w:type="spellEnd"/>
      <w:r>
        <w:rPr>
          <w:sz w:val="20"/>
          <w:szCs w:val="20"/>
          <w:rtl/>
        </w:rPr>
        <w:t xml:space="preserve"> מ, עמ' 369, מאמר של הרב גדי </w:t>
      </w:r>
      <w:proofErr w:type="spellStart"/>
      <w:r>
        <w:rPr>
          <w:sz w:val="20"/>
          <w:szCs w:val="20"/>
          <w:rtl/>
        </w:rPr>
        <w:t>מכטה</w:t>
      </w:r>
      <w:proofErr w:type="spellEnd"/>
      <w:r>
        <w:rPr>
          <w:sz w:val="20"/>
          <w:szCs w:val="20"/>
          <w:rtl/>
        </w:rPr>
        <w:t xml:space="preserve"> בנושא)</w:t>
      </w:r>
      <w:r>
        <w:rPr>
          <w:sz w:val="24"/>
          <w:szCs w:val="24"/>
        </w:rPr>
        <w:t>.</w:t>
      </w:r>
    </w:p>
    <w:p w14:paraId="00000031" w14:textId="77777777" w:rsidR="000D7515" w:rsidRDefault="007D6E20">
      <w:pPr>
        <w:bidi/>
        <w:jc w:val="both"/>
        <w:rPr>
          <w:sz w:val="24"/>
          <w:szCs w:val="24"/>
        </w:rPr>
      </w:pPr>
      <w:r>
        <w:rPr>
          <w:sz w:val="24"/>
          <w:szCs w:val="24"/>
          <w:rtl/>
        </w:rPr>
        <w:t xml:space="preserve">ה. אסור בשבת לחתוך מפות ניילון, וכן אסור להפריד שקיות זבל (אם הן מחוברות. אבל אם הן רק כרוכות יחד, מותר) </w:t>
      </w:r>
      <w:r>
        <w:rPr>
          <w:sz w:val="20"/>
          <w:szCs w:val="20"/>
          <w:rtl/>
        </w:rPr>
        <w:t xml:space="preserve">(עיין </w:t>
      </w:r>
      <w:proofErr w:type="spellStart"/>
      <w:r>
        <w:rPr>
          <w:sz w:val="20"/>
          <w:szCs w:val="20"/>
          <w:rtl/>
        </w:rPr>
        <w:t>שמ</w:t>
      </w:r>
      <w:proofErr w:type="spellEnd"/>
      <w:r>
        <w:rPr>
          <w:sz w:val="20"/>
          <w:szCs w:val="20"/>
          <w:rtl/>
        </w:rPr>
        <w:t xml:space="preserve">, </w:t>
      </w:r>
      <w:proofErr w:type="spellStart"/>
      <w:r>
        <w:rPr>
          <w:sz w:val="20"/>
          <w:szCs w:val="20"/>
          <w:rtl/>
        </w:rPr>
        <w:t>יג</w:t>
      </w:r>
      <w:proofErr w:type="spellEnd"/>
      <w:r>
        <w:rPr>
          <w:sz w:val="20"/>
          <w:szCs w:val="20"/>
          <w:rtl/>
        </w:rPr>
        <w:t xml:space="preserve">, </w:t>
      </w:r>
      <w:proofErr w:type="spellStart"/>
      <w:r>
        <w:rPr>
          <w:sz w:val="20"/>
          <w:szCs w:val="20"/>
          <w:rtl/>
        </w:rPr>
        <w:t>ובמשנ"ב</w:t>
      </w:r>
      <w:proofErr w:type="spellEnd"/>
      <w:r>
        <w:rPr>
          <w:sz w:val="20"/>
          <w:szCs w:val="20"/>
          <w:rtl/>
        </w:rPr>
        <w:t xml:space="preserve"> שם)</w:t>
      </w:r>
      <w:r>
        <w:rPr>
          <w:sz w:val="24"/>
          <w:szCs w:val="24"/>
        </w:rPr>
        <w:t>.</w:t>
      </w:r>
    </w:p>
    <w:p w14:paraId="00000032" w14:textId="77777777" w:rsidR="000D7515" w:rsidRPr="007D6E20" w:rsidRDefault="007D6E20">
      <w:pPr>
        <w:pStyle w:val="2"/>
        <w:jc w:val="both"/>
        <w:rPr>
          <w:b w:val="0"/>
          <w:bCs/>
        </w:rPr>
      </w:pPr>
      <w:r w:rsidRPr="007D6E20">
        <w:rPr>
          <w:b w:val="0"/>
          <w:bCs/>
          <w:rtl/>
        </w:rPr>
        <w:t>נספח – מעין שלוש, קידוש והבדלה</w:t>
      </w:r>
      <w:r w:rsidRPr="007D6E20">
        <w:rPr>
          <w:b w:val="0"/>
          <w:bCs/>
          <w:vertAlign w:val="superscript"/>
        </w:rPr>
        <w:footnoteReference w:id="4"/>
      </w:r>
    </w:p>
    <w:p w14:paraId="00000033" w14:textId="77777777" w:rsidR="000D7515" w:rsidRPr="007D6E20" w:rsidRDefault="007D6E20">
      <w:pPr>
        <w:bidi/>
        <w:jc w:val="both"/>
        <w:rPr>
          <w:bCs/>
          <w:sz w:val="26"/>
          <w:szCs w:val="26"/>
        </w:rPr>
      </w:pPr>
      <w:r w:rsidRPr="007D6E20">
        <w:rPr>
          <w:bCs/>
          <w:sz w:val="26"/>
          <w:szCs w:val="26"/>
          <w:rtl/>
        </w:rPr>
        <w:t xml:space="preserve">קידוש הערב </w:t>
      </w:r>
    </w:p>
    <w:p w14:paraId="00000034" w14:textId="77777777" w:rsidR="000D7515" w:rsidRDefault="007D6E20">
      <w:pPr>
        <w:bidi/>
        <w:jc w:val="both"/>
        <w:rPr>
          <w:sz w:val="24"/>
          <w:szCs w:val="24"/>
        </w:rPr>
      </w:pPr>
      <w:r>
        <w:rPr>
          <w:sz w:val="24"/>
          <w:szCs w:val="24"/>
          <w:rtl/>
        </w:rPr>
        <w:lastRenderedPageBreak/>
        <w:t xml:space="preserve">יוֹם </w:t>
      </w:r>
      <w:proofErr w:type="spellStart"/>
      <w:r>
        <w:rPr>
          <w:sz w:val="24"/>
          <w:szCs w:val="24"/>
          <w:rtl/>
        </w:rPr>
        <w:t>הַשִּׁשִּׁי</w:t>
      </w:r>
      <w:proofErr w:type="spellEnd"/>
      <w:r>
        <w:rPr>
          <w:sz w:val="24"/>
          <w:szCs w:val="24"/>
          <w:rtl/>
        </w:rPr>
        <w:t xml:space="preserve">. וַיְכֻלּוּ הַשָּׁמַיִם וְהָאָרֶץ וְכָל צְבָאָם: </w:t>
      </w:r>
      <w:proofErr w:type="spellStart"/>
      <w:r>
        <w:rPr>
          <w:sz w:val="24"/>
          <w:szCs w:val="24"/>
          <w:rtl/>
        </w:rPr>
        <w:t>וַיְכַל</w:t>
      </w:r>
      <w:proofErr w:type="spellEnd"/>
      <w:r>
        <w:rPr>
          <w:sz w:val="24"/>
          <w:szCs w:val="24"/>
          <w:rtl/>
        </w:rPr>
        <w:t xml:space="preserve"> -לֹהִים בַּיּוֹם הַשְּׁבִיעִי מְלַאכְתּוֹ אֲשֶׁר עָשָׂה. וַיִּשְׁבֹּת בַּיּוֹם הַשְּׁבִיעִי מִכָּל מְלַאכְתּוֹ אֲשֶׁר עָשָׂה: וַיְבָרֶךְ -לֹהִים אֶת יוֹם הַשְּׁבִיעִי וַיְקַדֵּשׁ אֹתוֹ. כִּי בוֹ שָׁבַת מִכָּל מְלַאכְתּוֹ אֲשֶׁר בָּרָא -לֹהִים לַעֲשׂוֹת:</w:t>
      </w:r>
    </w:p>
    <w:p w14:paraId="00000035" w14:textId="77777777" w:rsidR="000D7515" w:rsidRDefault="007D6E20">
      <w:pPr>
        <w:bidi/>
        <w:jc w:val="both"/>
        <w:rPr>
          <w:sz w:val="24"/>
          <w:szCs w:val="24"/>
        </w:rPr>
      </w:pPr>
      <w:r>
        <w:rPr>
          <w:sz w:val="24"/>
          <w:szCs w:val="24"/>
          <w:rtl/>
        </w:rPr>
        <w:t xml:space="preserve">סַבְרִי מָרָנָן (לְחַיִּים). </w:t>
      </w:r>
    </w:p>
    <w:p w14:paraId="00000036" w14:textId="77777777" w:rsidR="000D7515" w:rsidRDefault="007D6E20">
      <w:pPr>
        <w:bidi/>
        <w:jc w:val="both"/>
        <w:rPr>
          <w:sz w:val="24"/>
          <w:szCs w:val="24"/>
        </w:rPr>
      </w:pPr>
      <w:r>
        <w:rPr>
          <w:sz w:val="24"/>
          <w:szCs w:val="24"/>
          <w:rtl/>
        </w:rPr>
        <w:t xml:space="preserve">בָּרוּךְ אַתָּה יי, -לֹהֵינוּ מֶֽלֶךְ הָעוֹלָם, בּוֹרֵא פְּרִי הַגָּֽפֶן: </w:t>
      </w:r>
    </w:p>
    <w:p w14:paraId="00000037" w14:textId="77777777" w:rsidR="000D7515" w:rsidRDefault="007D6E20">
      <w:pPr>
        <w:bidi/>
        <w:jc w:val="both"/>
        <w:rPr>
          <w:sz w:val="24"/>
          <w:szCs w:val="24"/>
        </w:rPr>
      </w:pPr>
      <w:r>
        <w:rPr>
          <w:sz w:val="24"/>
          <w:szCs w:val="24"/>
          <w:rtl/>
        </w:rPr>
        <w:t xml:space="preserve">בָּרוּךְ אַתָּה יי, -לֹהֵינוּ מֶֽלֶךְ הָעוֹלָם, אֲשֶׁר קִדְּשָֽׁנוּ בְּמִצְוֹתָיו, וְרָֽצָה בָֽנוּ, וְשַׁבַּת קָדְשׁוֹ בְּאַהֲבָה וּבְרָצוֹן הִנְחִילָֽנוּ, </w:t>
      </w:r>
      <w:proofErr w:type="spellStart"/>
      <w:r>
        <w:rPr>
          <w:sz w:val="24"/>
          <w:szCs w:val="24"/>
          <w:rtl/>
        </w:rPr>
        <w:t>זִכָּרוֹן</w:t>
      </w:r>
      <w:proofErr w:type="spellEnd"/>
      <w:r>
        <w:rPr>
          <w:sz w:val="24"/>
          <w:szCs w:val="24"/>
          <w:rtl/>
        </w:rPr>
        <w:t xml:space="preserve"> לְמַעֲשֵׂה בְרֵאשִׁית. תְּחִלָּה לְמִקְרָאֵי קֹֽדֶשׁ זֵֽכֶר לִיצִיאַת מִצְרָֽיִם, וְשַׁבַּת </w:t>
      </w:r>
      <w:proofErr w:type="spellStart"/>
      <w:r>
        <w:rPr>
          <w:sz w:val="24"/>
          <w:szCs w:val="24"/>
          <w:rtl/>
        </w:rPr>
        <w:t>קָדְשְׁך</w:t>
      </w:r>
      <w:proofErr w:type="spellEnd"/>
      <w:r>
        <w:rPr>
          <w:sz w:val="24"/>
          <w:szCs w:val="24"/>
          <w:rtl/>
        </w:rPr>
        <w:t>ָ, בְּאַהֲבָה וּבְרָצוֹן הִנְחַלְתָּֽנוּ. בָּרוּךְ אַתָּה יי, מְקַדֵּשׁ הַשַּׁבָּת:</w:t>
      </w:r>
    </w:p>
    <w:p w14:paraId="00000038" w14:textId="77777777" w:rsidR="000D7515" w:rsidRDefault="000D7515">
      <w:pPr>
        <w:bidi/>
        <w:jc w:val="both"/>
        <w:rPr>
          <w:b/>
          <w:sz w:val="24"/>
          <w:szCs w:val="24"/>
        </w:rPr>
      </w:pPr>
    </w:p>
    <w:p w14:paraId="00000039" w14:textId="77777777" w:rsidR="000D7515" w:rsidRPr="007D6E20" w:rsidRDefault="007D6E20">
      <w:pPr>
        <w:bidi/>
        <w:jc w:val="both"/>
        <w:rPr>
          <w:bCs/>
          <w:sz w:val="26"/>
          <w:szCs w:val="26"/>
        </w:rPr>
      </w:pPr>
      <w:r w:rsidRPr="007D6E20">
        <w:rPr>
          <w:bCs/>
          <w:sz w:val="26"/>
          <w:szCs w:val="26"/>
          <w:rtl/>
        </w:rPr>
        <w:t>קידוש הבוקר</w:t>
      </w:r>
    </w:p>
    <w:p w14:paraId="0000003A" w14:textId="77777777" w:rsidR="000D7515" w:rsidRDefault="007D6E20">
      <w:pPr>
        <w:bidi/>
        <w:jc w:val="both"/>
        <w:rPr>
          <w:sz w:val="24"/>
          <w:szCs w:val="24"/>
        </w:rPr>
      </w:pPr>
      <w:r>
        <w:rPr>
          <w:sz w:val="24"/>
          <w:szCs w:val="24"/>
          <w:rtl/>
        </w:rPr>
        <w:t>מברך בורא פרי הגפן (נהגו להקדים כמה פסוקים שעוסקים בשבת).</w:t>
      </w:r>
    </w:p>
    <w:p w14:paraId="0000003B" w14:textId="77777777" w:rsidR="000D7515" w:rsidRDefault="000D7515">
      <w:pPr>
        <w:bidi/>
        <w:jc w:val="both"/>
        <w:rPr>
          <w:sz w:val="24"/>
          <w:szCs w:val="24"/>
        </w:rPr>
      </w:pPr>
    </w:p>
    <w:p w14:paraId="0000003C" w14:textId="77777777" w:rsidR="000D7515" w:rsidRPr="007D6E20" w:rsidRDefault="007D6E20">
      <w:pPr>
        <w:bidi/>
        <w:jc w:val="both"/>
        <w:rPr>
          <w:bCs/>
          <w:sz w:val="26"/>
          <w:szCs w:val="26"/>
        </w:rPr>
      </w:pPr>
      <w:r w:rsidRPr="007D6E20">
        <w:rPr>
          <w:bCs/>
          <w:sz w:val="26"/>
          <w:szCs w:val="26"/>
          <w:rtl/>
        </w:rPr>
        <w:t>מעין שלוש</w:t>
      </w:r>
    </w:p>
    <w:p w14:paraId="0000003D" w14:textId="77777777" w:rsidR="000D7515" w:rsidRDefault="007D6E20">
      <w:pPr>
        <w:bidi/>
        <w:jc w:val="both"/>
        <w:rPr>
          <w:sz w:val="24"/>
          <w:szCs w:val="24"/>
        </w:rPr>
      </w:pPr>
      <w:r>
        <w:rPr>
          <w:sz w:val="24"/>
          <w:szCs w:val="24"/>
          <w:rtl/>
        </w:rPr>
        <w:t>בָּרוּךְ אַתָּה יי -לֹהֵינוּ מֶלֶךְ הָעוֹלָם,</w:t>
      </w:r>
    </w:p>
    <w:p w14:paraId="0000003E" w14:textId="77777777" w:rsidR="000D7515" w:rsidRDefault="007D6E20">
      <w:pPr>
        <w:bidi/>
        <w:jc w:val="both"/>
        <w:rPr>
          <w:sz w:val="24"/>
          <w:szCs w:val="24"/>
        </w:rPr>
      </w:pPr>
      <w:r>
        <w:rPr>
          <w:sz w:val="18"/>
          <w:szCs w:val="18"/>
          <w:rtl/>
        </w:rPr>
        <w:t>אכל מזונות:</w:t>
      </w:r>
      <w:r>
        <w:t xml:space="preserve"> </w:t>
      </w:r>
      <w:r>
        <w:rPr>
          <w:sz w:val="24"/>
          <w:szCs w:val="24"/>
          <w:rtl/>
        </w:rPr>
        <w:t xml:space="preserve">עַל הַמִּחְיָה וְעַל הַכַּלְכָּלָה, </w:t>
      </w:r>
      <w:r>
        <w:rPr>
          <w:sz w:val="18"/>
          <w:szCs w:val="18"/>
          <w:rtl/>
        </w:rPr>
        <w:t>שתה יין:</w:t>
      </w:r>
      <w:r>
        <w:t xml:space="preserve"> </w:t>
      </w:r>
      <w:r>
        <w:rPr>
          <w:sz w:val="24"/>
          <w:szCs w:val="24"/>
          <w:rtl/>
        </w:rPr>
        <w:t xml:space="preserve">עַל הַגֶּפֶן וְעַל פְּרִי הַגֶּפֶן, </w:t>
      </w:r>
      <w:r>
        <w:rPr>
          <w:sz w:val="18"/>
          <w:szCs w:val="18"/>
          <w:rtl/>
        </w:rPr>
        <w:t xml:space="preserve">שבעת המינים: </w:t>
      </w:r>
      <w:r>
        <w:rPr>
          <w:sz w:val="24"/>
          <w:szCs w:val="24"/>
          <w:rtl/>
        </w:rPr>
        <w:t>עַל הָעֵץ וְעַל פְּרִי הָעֵץ,</w:t>
      </w:r>
    </w:p>
    <w:p w14:paraId="0000003F" w14:textId="77777777" w:rsidR="000D7515" w:rsidRDefault="007D6E20">
      <w:pPr>
        <w:bidi/>
        <w:jc w:val="both"/>
        <w:rPr>
          <w:sz w:val="24"/>
          <w:szCs w:val="24"/>
        </w:rPr>
      </w:pPr>
      <w:r>
        <w:rPr>
          <w:sz w:val="24"/>
          <w:szCs w:val="24"/>
          <w:rtl/>
        </w:rPr>
        <w:t xml:space="preserve">וְעַל תְּנוּבַת הַשָּדֶה, וְעַל אֶרֶץ חֶמְדָּה טוֹבָה וּרְחָבָה שֶׁרָצִיתָ וְהִנְחַלְתָּ לַאֲבוֹתֵינוּ, לֶאֱכֹל מִפִּרְיָהּ וְלִשְׂבֹּעַ מִטּוּבָהּ. רַחֵם נא יי -לֹהֵינוּ, עַל יִשְרָאֵל עָמֶּךָ, וְעַל יְרוּשָלַיִם עִירֶךָ, וְעַל צִיּוֹן מִשְכַּן כְּבוֹדֶךָ, וְעַל מִזְבְּחֶךָ וְעַל הֵיכָלֶךָ. וּבְנֵה יְרוּשָלַיִם עִיר הַקדֶשׁ בִּמְהֵרָה בְיָמֵינוּ. וְהַעֲלֵנוּ לְתוֹכָהּ, וְשַמְּחֵנוּ </w:t>
      </w:r>
      <w:proofErr w:type="spellStart"/>
      <w:r>
        <w:rPr>
          <w:sz w:val="24"/>
          <w:szCs w:val="24"/>
          <w:rtl/>
        </w:rPr>
        <w:t>בְּבִנְיָנָה</w:t>
      </w:r>
      <w:proofErr w:type="spellEnd"/>
      <w:r>
        <w:rPr>
          <w:sz w:val="24"/>
          <w:szCs w:val="24"/>
          <w:rtl/>
        </w:rPr>
        <w:t xml:space="preserve">ּ, וְנֹאכַל מִפִּרְיָה וְנִשְׂבַּע מִטּוּבָהּ וּנְבָרֶכְךָ בִּקְדֻשָּׁה וּבְטָהֳרָה. </w:t>
      </w:r>
      <w:r>
        <w:rPr>
          <w:sz w:val="18"/>
          <w:szCs w:val="18"/>
          <w:rtl/>
        </w:rPr>
        <w:t xml:space="preserve">בשבת: </w:t>
      </w:r>
      <w:r>
        <w:rPr>
          <w:sz w:val="24"/>
          <w:szCs w:val="24"/>
          <w:rtl/>
        </w:rPr>
        <w:t xml:space="preserve">וּרְצֵה </w:t>
      </w:r>
      <w:proofErr w:type="spellStart"/>
      <w:r>
        <w:rPr>
          <w:sz w:val="24"/>
          <w:szCs w:val="24"/>
          <w:rtl/>
        </w:rPr>
        <w:t>וְהַחֲלִיצֵנו</w:t>
      </w:r>
      <w:proofErr w:type="spellEnd"/>
      <w:r>
        <w:rPr>
          <w:sz w:val="24"/>
          <w:szCs w:val="24"/>
          <w:rtl/>
        </w:rPr>
        <w:t>ּ בְּיוֹם הַשַבָּת הַזֶּה.</w:t>
      </w:r>
    </w:p>
    <w:p w14:paraId="00000040" w14:textId="77777777" w:rsidR="000D7515" w:rsidRDefault="007D6E20">
      <w:pPr>
        <w:bidi/>
        <w:jc w:val="both"/>
        <w:rPr>
          <w:sz w:val="24"/>
          <w:szCs w:val="24"/>
        </w:rPr>
      </w:pPr>
      <w:r>
        <w:rPr>
          <w:sz w:val="24"/>
          <w:szCs w:val="24"/>
          <w:rtl/>
        </w:rPr>
        <w:t>כִּי אַתָּה יי טוֹב וּמֵיטִיב לַכֹּל, וְנוֹדֶה לְּךָ עַל הָאָרֶץ</w:t>
      </w:r>
    </w:p>
    <w:p w14:paraId="00000041" w14:textId="77777777" w:rsidR="000D7515" w:rsidRDefault="007D6E20">
      <w:pPr>
        <w:bidi/>
        <w:jc w:val="both"/>
        <w:rPr>
          <w:sz w:val="24"/>
          <w:szCs w:val="24"/>
        </w:rPr>
      </w:pPr>
      <w:r>
        <w:rPr>
          <w:sz w:val="18"/>
          <w:szCs w:val="18"/>
          <w:rtl/>
        </w:rPr>
        <w:t xml:space="preserve">מזונות: </w:t>
      </w:r>
      <w:r>
        <w:rPr>
          <w:sz w:val="24"/>
          <w:szCs w:val="24"/>
          <w:rtl/>
        </w:rPr>
        <w:t xml:space="preserve">וְעַל הַמִּחְיָה </w:t>
      </w:r>
      <w:r>
        <w:rPr>
          <w:sz w:val="18"/>
          <w:szCs w:val="18"/>
          <w:rtl/>
        </w:rPr>
        <w:t xml:space="preserve">יין של א"י: </w:t>
      </w:r>
      <w:r>
        <w:rPr>
          <w:sz w:val="24"/>
          <w:szCs w:val="24"/>
          <w:rtl/>
        </w:rPr>
        <w:t xml:space="preserve">וְעַל פְּרִי גַפְנָהּ. </w:t>
      </w:r>
      <w:r>
        <w:rPr>
          <w:sz w:val="18"/>
          <w:szCs w:val="18"/>
          <w:rtl/>
        </w:rPr>
        <w:t xml:space="preserve">שבעת המינים: </w:t>
      </w:r>
      <w:r>
        <w:rPr>
          <w:sz w:val="24"/>
          <w:szCs w:val="24"/>
          <w:rtl/>
        </w:rPr>
        <w:t xml:space="preserve">וְעַל הַפֵּרוֹת. </w:t>
      </w:r>
      <w:r>
        <w:rPr>
          <w:sz w:val="18"/>
          <w:szCs w:val="18"/>
          <w:rtl/>
        </w:rPr>
        <w:t xml:space="preserve">ואם היו של א"י: </w:t>
      </w:r>
      <w:r>
        <w:rPr>
          <w:sz w:val="24"/>
          <w:szCs w:val="24"/>
          <w:rtl/>
        </w:rPr>
        <w:t>וְעַל פֵּרוֹתֶיהָ.</w:t>
      </w:r>
    </w:p>
    <w:p w14:paraId="00000042" w14:textId="77777777" w:rsidR="000D7515" w:rsidRDefault="007D6E20">
      <w:pPr>
        <w:bidi/>
        <w:jc w:val="both"/>
        <w:rPr>
          <w:sz w:val="24"/>
          <w:szCs w:val="24"/>
        </w:rPr>
      </w:pPr>
      <w:r>
        <w:rPr>
          <w:sz w:val="24"/>
          <w:szCs w:val="24"/>
          <w:rtl/>
        </w:rPr>
        <w:t>בָּרוּךְ אַתָּה יי, עַל הָאָרֶץ</w:t>
      </w:r>
    </w:p>
    <w:p w14:paraId="00000043" w14:textId="77777777" w:rsidR="000D7515" w:rsidRDefault="007D6E20">
      <w:pPr>
        <w:bidi/>
        <w:jc w:val="both"/>
        <w:rPr>
          <w:sz w:val="24"/>
          <w:szCs w:val="24"/>
        </w:rPr>
      </w:pPr>
      <w:r>
        <w:rPr>
          <w:sz w:val="18"/>
          <w:szCs w:val="18"/>
          <w:rtl/>
        </w:rPr>
        <w:t xml:space="preserve">מזונות: </w:t>
      </w:r>
      <w:r>
        <w:rPr>
          <w:sz w:val="24"/>
          <w:szCs w:val="24"/>
          <w:rtl/>
        </w:rPr>
        <w:t xml:space="preserve">וְעַל הַמִּחְיָה </w:t>
      </w:r>
      <w:r>
        <w:rPr>
          <w:sz w:val="18"/>
          <w:szCs w:val="18"/>
          <w:rtl/>
        </w:rPr>
        <w:t xml:space="preserve">יין א"י: </w:t>
      </w:r>
      <w:r>
        <w:rPr>
          <w:sz w:val="24"/>
          <w:szCs w:val="24"/>
          <w:rtl/>
        </w:rPr>
        <w:t xml:space="preserve">וְעַל פְּרִי גַפְנָהּ. </w:t>
      </w:r>
      <w:r>
        <w:rPr>
          <w:sz w:val="18"/>
          <w:szCs w:val="18"/>
          <w:rtl/>
        </w:rPr>
        <w:t>פירות:</w:t>
      </w:r>
      <w:r>
        <w:rPr>
          <w:sz w:val="24"/>
          <w:szCs w:val="24"/>
          <w:rtl/>
        </w:rPr>
        <w:t xml:space="preserve"> וְעַל הַפֵּרוֹת. </w:t>
      </w:r>
      <w:r>
        <w:rPr>
          <w:sz w:val="18"/>
          <w:szCs w:val="18"/>
          <w:rtl/>
        </w:rPr>
        <w:t>פירות א"י:</w:t>
      </w:r>
      <w:r>
        <w:rPr>
          <w:sz w:val="24"/>
          <w:szCs w:val="24"/>
          <w:rtl/>
        </w:rPr>
        <w:t xml:space="preserve"> וְעַל פֵּרוֹתֶיהָ.</w:t>
      </w:r>
    </w:p>
    <w:p w14:paraId="00000044" w14:textId="77777777" w:rsidR="000D7515" w:rsidRDefault="000D7515">
      <w:pPr>
        <w:bidi/>
        <w:jc w:val="both"/>
        <w:rPr>
          <w:b/>
          <w:sz w:val="24"/>
          <w:szCs w:val="24"/>
        </w:rPr>
      </w:pPr>
    </w:p>
    <w:p w14:paraId="00000045" w14:textId="77777777" w:rsidR="000D7515" w:rsidRPr="007D6E20" w:rsidRDefault="007D6E20">
      <w:pPr>
        <w:bidi/>
        <w:jc w:val="both"/>
        <w:rPr>
          <w:bCs/>
          <w:sz w:val="26"/>
          <w:szCs w:val="26"/>
        </w:rPr>
      </w:pPr>
      <w:r w:rsidRPr="007D6E20">
        <w:rPr>
          <w:bCs/>
          <w:sz w:val="26"/>
          <w:szCs w:val="26"/>
          <w:rtl/>
        </w:rPr>
        <w:t>הבדלה</w:t>
      </w:r>
    </w:p>
    <w:p w14:paraId="00000046" w14:textId="77777777" w:rsidR="000D7515" w:rsidRDefault="007D6E20">
      <w:pPr>
        <w:bidi/>
        <w:jc w:val="both"/>
        <w:rPr>
          <w:sz w:val="24"/>
          <w:szCs w:val="24"/>
        </w:rPr>
      </w:pPr>
      <w:r>
        <w:rPr>
          <w:sz w:val="24"/>
          <w:szCs w:val="24"/>
          <w:rtl/>
        </w:rPr>
        <w:t xml:space="preserve">כּוֹס יְשׁוּעוֹת אֶשָּׂא, וּבְשֵׁם יי אֶקְרָא. הוֹדוּ </w:t>
      </w:r>
      <w:proofErr w:type="spellStart"/>
      <w:r>
        <w:rPr>
          <w:sz w:val="24"/>
          <w:szCs w:val="24"/>
          <w:rtl/>
        </w:rPr>
        <w:t>לַיי</w:t>
      </w:r>
      <w:proofErr w:type="spellEnd"/>
      <w:r>
        <w:rPr>
          <w:sz w:val="24"/>
          <w:szCs w:val="24"/>
          <w:rtl/>
        </w:rPr>
        <w:t xml:space="preserve"> כִּי טוֹב, כִּי לְעוֹלָם חַסְדּוֹ.</w:t>
      </w:r>
    </w:p>
    <w:p w14:paraId="00000047" w14:textId="77777777" w:rsidR="000D7515" w:rsidRDefault="007D6E20">
      <w:pPr>
        <w:bidi/>
        <w:jc w:val="both"/>
        <w:rPr>
          <w:sz w:val="24"/>
          <w:szCs w:val="24"/>
        </w:rPr>
      </w:pPr>
      <w:r>
        <w:rPr>
          <w:sz w:val="24"/>
          <w:szCs w:val="24"/>
          <w:rtl/>
        </w:rPr>
        <w:t xml:space="preserve">סַבְרִי מָרָנָן (לְחַיִּים). </w:t>
      </w:r>
    </w:p>
    <w:p w14:paraId="00000048" w14:textId="77777777" w:rsidR="000D7515" w:rsidRDefault="007D6E20">
      <w:pPr>
        <w:bidi/>
        <w:jc w:val="both"/>
        <w:rPr>
          <w:sz w:val="24"/>
          <w:szCs w:val="24"/>
        </w:rPr>
      </w:pPr>
      <w:r>
        <w:rPr>
          <w:sz w:val="24"/>
          <w:szCs w:val="24"/>
          <w:rtl/>
        </w:rPr>
        <w:t>ומברך בשם ומלכות: בורא פרי הגפן, בורא מיני בשמים, ובורא מאורי האש.</w:t>
      </w:r>
    </w:p>
    <w:p w14:paraId="00000049" w14:textId="77777777" w:rsidR="000D7515" w:rsidRDefault="007D6E20">
      <w:pPr>
        <w:bidi/>
        <w:jc w:val="both"/>
      </w:pPr>
      <w:r>
        <w:rPr>
          <w:sz w:val="24"/>
          <w:szCs w:val="24"/>
          <w:rtl/>
        </w:rPr>
        <w:t>בָּרוּךְ אַתָּה יי, -לֹהֵינוּ מֶלֶֽךְ הָעוֹלָם, הַמַּבְדִּיל בֵּין קֹֽדֶשׁ לְחוֹל, בֵין אוֹר לְחֹֽשֶׁךְ, בֵין יִשְׂרָאֵל לָעַמִּים, בֵין יוֹם הַשְּׁבִיעִי לְשֵֽׁשֶׁת יְמֵי הַמַּעֲשֶׂה. בָּרוּךְ אַתָּה יי, הַמַּבְדִּיל בֵּין קֹֽדֶשׁ לְחוֹל.</w:t>
      </w:r>
    </w:p>
    <w:p w14:paraId="0000004A" w14:textId="77777777" w:rsidR="000D7515" w:rsidRPr="007D6E20" w:rsidRDefault="007D6E20">
      <w:pPr>
        <w:pStyle w:val="2"/>
        <w:jc w:val="both"/>
        <w:rPr>
          <w:b w:val="0"/>
          <w:bCs/>
        </w:rPr>
      </w:pPr>
      <w:r w:rsidRPr="007D6E20">
        <w:rPr>
          <w:b w:val="0"/>
          <w:bCs/>
          <w:rtl/>
        </w:rPr>
        <w:t>נספח כללי</w:t>
      </w:r>
    </w:p>
    <w:p w14:paraId="0000004B" w14:textId="77777777" w:rsidR="000D7515" w:rsidRPr="007D6E20" w:rsidRDefault="007D6E20">
      <w:pPr>
        <w:bidi/>
        <w:jc w:val="both"/>
        <w:rPr>
          <w:bCs/>
          <w:sz w:val="24"/>
          <w:szCs w:val="24"/>
        </w:rPr>
      </w:pPr>
      <w:r w:rsidRPr="007D6E20">
        <w:rPr>
          <w:bCs/>
          <w:sz w:val="24"/>
          <w:szCs w:val="24"/>
          <w:rtl/>
        </w:rPr>
        <w:t>כללי הכתיבה והמקורות</w:t>
      </w:r>
    </w:p>
    <w:p w14:paraId="0000004C" w14:textId="77777777" w:rsidR="000D7515" w:rsidRDefault="007D6E20">
      <w:pPr>
        <w:bidi/>
        <w:jc w:val="both"/>
        <w:rPr>
          <w:sz w:val="24"/>
          <w:szCs w:val="24"/>
        </w:rPr>
      </w:pPr>
      <w:r>
        <w:rPr>
          <w:sz w:val="24"/>
          <w:szCs w:val="24"/>
          <w:rtl/>
        </w:rPr>
        <w:t>הפניה בה לא מצוין שם הספר היא לשולחן ערוך, חלק אורח חיים.</w:t>
      </w:r>
    </w:p>
    <w:p w14:paraId="0000004D" w14:textId="77777777" w:rsidR="000D7515" w:rsidRDefault="007D6E20">
      <w:pPr>
        <w:bidi/>
        <w:jc w:val="both"/>
        <w:rPr>
          <w:sz w:val="24"/>
          <w:szCs w:val="24"/>
        </w:rPr>
      </w:pPr>
      <w:r>
        <w:rPr>
          <w:sz w:val="24"/>
          <w:szCs w:val="24"/>
          <w:rtl/>
        </w:rPr>
        <w:t>בדרך כלל ההלכה מפורשת במקור שמובא, אם לא, הוספנו לפני ציון המקור את המילה 'עיין'.</w:t>
      </w:r>
    </w:p>
    <w:p w14:paraId="0000004E" w14:textId="77777777" w:rsidR="000D7515" w:rsidRDefault="007D6E20">
      <w:pPr>
        <w:bidi/>
        <w:jc w:val="both"/>
        <w:rPr>
          <w:sz w:val="24"/>
          <w:szCs w:val="24"/>
        </w:rPr>
      </w:pPr>
      <w:r>
        <w:rPr>
          <w:sz w:val="24"/>
          <w:szCs w:val="24"/>
          <w:rtl/>
        </w:rPr>
        <w:t>השתדלנו ללכת לפי המיינסטרים ההלכתי, ולא לנקוט דעות יחיד (</w:t>
      </w:r>
      <w:proofErr w:type="spellStart"/>
      <w:r>
        <w:rPr>
          <w:sz w:val="24"/>
          <w:szCs w:val="24"/>
          <w:rtl/>
        </w:rPr>
        <w:t>לקולא</w:t>
      </w:r>
      <w:proofErr w:type="spellEnd"/>
      <w:r>
        <w:rPr>
          <w:sz w:val="24"/>
          <w:szCs w:val="24"/>
          <w:rtl/>
        </w:rPr>
        <w:t xml:space="preserve"> </w:t>
      </w:r>
      <w:proofErr w:type="spellStart"/>
      <w:r>
        <w:rPr>
          <w:sz w:val="24"/>
          <w:szCs w:val="24"/>
          <w:rtl/>
        </w:rPr>
        <w:t>ולחומרא</w:t>
      </w:r>
      <w:proofErr w:type="spellEnd"/>
      <w:r>
        <w:rPr>
          <w:sz w:val="24"/>
          <w:szCs w:val="24"/>
          <w:rtl/>
        </w:rPr>
        <w:t>).</w:t>
      </w:r>
    </w:p>
    <w:p w14:paraId="0000004F" w14:textId="77777777" w:rsidR="000D7515" w:rsidRDefault="007D6E20">
      <w:pPr>
        <w:bidi/>
        <w:jc w:val="both"/>
        <w:rPr>
          <w:sz w:val="24"/>
          <w:szCs w:val="24"/>
        </w:rPr>
      </w:pPr>
      <w:r>
        <w:rPr>
          <w:sz w:val="24"/>
          <w:szCs w:val="24"/>
          <w:rtl/>
        </w:rPr>
        <w:t>כאשר יש מחלוקת אשכנזים/ספרדים/תימנים, השתדלנו לציין זאת.</w:t>
      </w:r>
    </w:p>
    <w:p w14:paraId="00000050" w14:textId="77777777" w:rsidR="000D7515" w:rsidRDefault="000D7515">
      <w:pPr>
        <w:bidi/>
        <w:jc w:val="both"/>
        <w:rPr>
          <w:sz w:val="24"/>
          <w:szCs w:val="24"/>
        </w:rPr>
      </w:pPr>
    </w:p>
    <w:p w14:paraId="00000051" w14:textId="77777777" w:rsidR="000D7515" w:rsidRPr="007D6E20" w:rsidRDefault="007D6E20">
      <w:pPr>
        <w:bidi/>
        <w:jc w:val="both"/>
        <w:rPr>
          <w:bCs/>
          <w:sz w:val="24"/>
          <w:szCs w:val="24"/>
        </w:rPr>
      </w:pPr>
      <w:r w:rsidRPr="007D6E20">
        <w:rPr>
          <w:bCs/>
          <w:sz w:val="24"/>
          <w:szCs w:val="24"/>
          <w:rtl/>
        </w:rPr>
        <w:t>השימוש בחוברת</w:t>
      </w:r>
    </w:p>
    <w:p w14:paraId="00000052" w14:textId="77777777" w:rsidR="000D7515" w:rsidRDefault="007D6E20">
      <w:pPr>
        <w:bidi/>
        <w:jc w:val="both"/>
        <w:rPr>
          <w:sz w:val="24"/>
          <w:szCs w:val="24"/>
        </w:rPr>
      </w:pPr>
      <w:r>
        <w:rPr>
          <w:sz w:val="24"/>
          <w:szCs w:val="24"/>
          <w:rtl/>
        </w:rPr>
        <w:t xml:space="preserve">ניתן להוריד את החוברת כקובץ </w:t>
      </w:r>
      <w:proofErr w:type="spellStart"/>
      <w:r>
        <w:rPr>
          <w:sz w:val="24"/>
          <w:szCs w:val="24"/>
        </w:rPr>
        <w:t>word</w:t>
      </w:r>
      <w:proofErr w:type="spellEnd"/>
      <w:r>
        <w:rPr>
          <w:sz w:val="24"/>
          <w:szCs w:val="24"/>
          <w:rtl/>
        </w:rPr>
        <w:t>, לערוך, ולהדפיס.</w:t>
      </w:r>
    </w:p>
    <w:p w14:paraId="00000053" w14:textId="77777777" w:rsidR="000D7515" w:rsidRDefault="007D6E20">
      <w:pPr>
        <w:bidi/>
        <w:jc w:val="both"/>
        <w:rPr>
          <w:sz w:val="24"/>
          <w:szCs w:val="24"/>
        </w:rPr>
      </w:pPr>
      <w:r>
        <w:rPr>
          <w:sz w:val="24"/>
          <w:szCs w:val="24"/>
          <w:rtl/>
        </w:rPr>
        <w:t xml:space="preserve">אפשר להדפיס גרסת כיס באמצעות </w:t>
      </w:r>
      <w:hyperlink r:id="rId8">
        <w:r>
          <w:rPr>
            <w:color w:val="1155CC"/>
            <w:sz w:val="24"/>
            <w:szCs w:val="24"/>
            <w:u w:val="single"/>
            <w:rtl/>
          </w:rPr>
          <w:t>אתר</w:t>
        </w:r>
      </w:hyperlink>
      <w:hyperlink r:id="rId9">
        <w:r>
          <w:rPr>
            <w:color w:val="1155CC"/>
            <w:sz w:val="24"/>
            <w:szCs w:val="24"/>
            <w:u w:val="single"/>
            <w:rtl/>
          </w:rPr>
          <w:t xml:space="preserve"> </w:t>
        </w:r>
      </w:hyperlink>
      <w:hyperlink r:id="rId10">
        <w:r>
          <w:rPr>
            <w:color w:val="1155CC"/>
            <w:sz w:val="24"/>
            <w:szCs w:val="24"/>
            <w:u w:val="single"/>
            <w:rtl/>
          </w:rPr>
          <w:t>זה</w:t>
        </w:r>
      </w:hyperlink>
      <w:r>
        <w:rPr>
          <w:sz w:val="24"/>
          <w:szCs w:val="24"/>
          <w:rtl/>
        </w:rPr>
        <w:t xml:space="preserve"> (מבית 'פיתוחי חותם').</w:t>
      </w:r>
    </w:p>
    <w:p w14:paraId="00000054" w14:textId="4E05F25B" w:rsidR="000D7515" w:rsidRDefault="007D6E20">
      <w:pPr>
        <w:bidi/>
        <w:jc w:val="both"/>
        <w:rPr>
          <w:sz w:val="24"/>
          <w:szCs w:val="24"/>
        </w:rPr>
      </w:pPr>
      <w:r>
        <w:rPr>
          <w:sz w:val="24"/>
          <w:szCs w:val="24"/>
          <w:rtl/>
        </w:rPr>
        <w:t xml:space="preserve">לנוחותכם, כבר ערכנו מהדורת כיס </w:t>
      </w:r>
      <w:hyperlink r:id="rId11">
        <w:r>
          <w:rPr>
            <w:color w:val="0000EE"/>
            <w:sz w:val="24"/>
            <w:szCs w:val="24"/>
            <w:u w:val="single"/>
            <w:rtl/>
          </w:rPr>
          <w:t>קובץ</w:t>
        </w:r>
      </w:hyperlink>
      <w:hyperlink r:id="rId12">
        <w:r>
          <w:rPr>
            <w:color w:val="0000EE"/>
            <w:sz w:val="24"/>
            <w:szCs w:val="24"/>
            <w:u w:val="single"/>
            <w:rtl/>
          </w:rPr>
          <w:t xml:space="preserve"> </w:t>
        </w:r>
      </w:hyperlink>
      <w:hyperlink r:id="rId13">
        <w:r>
          <w:rPr>
            <w:color w:val="0000EE"/>
            <w:sz w:val="24"/>
            <w:szCs w:val="24"/>
            <w:u w:val="single"/>
            <w:rtl/>
          </w:rPr>
          <w:t>הלכות</w:t>
        </w:r>
      </w:hyperlink>
      <w:hyperlink r:id="rId14">
        <w:r>
          <w:rPr>
            <w:color w:val="0000EE"/>
            <w:sz w:val="24"/>
            <w:szCs w:val="24"/>
            <w:u w:val="single"/>
            <w:rtl/>
          </w:rPr>
          <w:t xml:space="preserve"> </w:t>
        </w:r>
      </w:hyperlink>
      <w:hyperlink r:id="rId15">
        <w:r>
          <w:rPr>
            <w:color w:val="0000EE"/>
            <w:sz w:val="24"/>
            <w:szCs w:val="24"/>
            <w:u w:val="single"/>
            <w:rtl/>
          </w:rPr>
          <w:t>ודגשים</w:t>
        </w:r>
      </w:hyperlink>
      <w:hyperlink r:id="rId16">
        <w:r>
          <w:rPr>
            <w:color w:val="0000EE"/>
            <w:sz w:val="24"/>
            <w:szCs w:val="24"/>
            <w:u w:val="single"/>
            <w:rtl/>
          </w:rPr>
          <w:t xml:space="preserve"> </w:t>
        </w:r>
      </w:hyperlink>
      <w:hyperlink r:id="rId17">
        <w:r>
          <w:rPr>
            <w:color w:val="0000EE"/>
            <w:sz w:val="24"/>
            <w:szCs w:val="24"/>
            <w:u w:val="single"/>
            <w:rtl/>
          </w:rPr>
          <w:t>לשבת</w:t>
        </w:r>
      </w:hyperlink>
      <w:hyperlink r:id="rId18">
        <w:r>
          <w:rPr>
            <w:color w:val="0000EE"/>
            <w:sz w:val="24"/>
            <w:szCs w:val="24"/>
            <w:u w:val="single"/>
            <w:rtl/>
          </w:rPr>
          <w:t xml:space="preserve"> </w:t>
        </w:r>
      </w:hyperlink>
      <w:hyperlink r:id="rId19">
        <w:r>
          <w:rPr>
            <w:color w:val="0000EE"/>
            <w:sz w:val="24"/>
            <w:szCs w:val="24"/>
            <w:u w:val="single"/>
            <w:rtl/>
          </w:rPr>
          <w:t>ארגון</w:t>
        </w:r>
      </w:hyperlink>
      <w:hyperlink r:id="rId20">
        <w:r>
          <w:rPr>
            <w:color w:val="0000EE"/>
            <w:sz w:val="24"/>
            <w:szCs w:val="24"/>
            <w:u w:val="single"/>
            <w:rtl/>
          </w:rPr>
          <w:t xml:space="preserve"> - </w:t>
        </w:r>
      </w:hyperlink>
      <w:hyperlink r:id="rId21">
        <w:r>
          <w:rPr>
            <w:color w:val="0000EE"/>
            <w:sz w:val="24"/>
            <w:szCs w:val="24"/>
            <w:u w:val="single"/>
            <w:rtl/>
          </w:rPr>
          <w:t>מהדורת</w:t>
        </w:r>
      </w:hyperlink>
      <w:hyperlink r:id="rId22">
        <w:r>
          <w:rPr>
            <w:color w:val="0000EE"/>
            <w:sz w:val="24"/>
            <w:szCs w:val="24"/>
            <w:u w:val="single"/>
            <w:rtl/>
          </w:rPr>
          <w:t xml:space="preserve"> </w:t>
        </w:r>
      </w:hyperlink>
      <w:hyperlink r:id="rId23">
        <w:r>
          <w:rPr>
            <w:color w:val="0000EE"/>
            <w:sz w:val="24"/>
            <w:szCs w:val="24"/>
            <w:u w:val="single"/>
            <w:rtl/>
          </w:rPr>
          <w:t>כיס</w:t>
        </w:r>
      </w:hyperlink>
      <w:hyperlink r:id="rId24">
        <w:r>
          <w:rPr>
            <w:color w:val="0000EE"/>
            <w:sz w:val="24"/>
            <w:szCs w:val="24"/>
            <w:u w:val="single"/>
            <w:rtl/>
          </w:rPr>
          <w:t>.</w:t>
        </w:r>
      </w:hyperlink>
      <w:hyperlink r:id="rId25">
        <w:proofErr w:type="spellStart"/>
        <w:r>
          <w:rPr>
            <w:color w:val="0000EE"/>
            <w:sz w:val="24"/>
            <w:szCs w:val="24"/>
            <w:u w:val="single"/>
          </w:rPr>
          <w:t>pdf</w:t>
        </w:r>
        <w:proofErr w:type="spellEnd"/>
      </w:hyperlink>
      <w:r>
        <w:rPr>
          <w:sz w:val="24"/>
          <w:szCs w:val="24"/>
          <w:rtl/>
        </w:rPr>
        <w:t xml:space="preserve"> (הדפסה דו צדדית, 'היפוך בצד הקצר').</w:t>
      </w:r>
    </w:p>
    <w:p w14:paraId="00000055" w14:textId="77777777" w:rsidR="000D7515" w:rsidRDefault="000D7515">
      <w:pPr>
        <w:bidi/>
        <w:jc w:val="both"/>
        <w:rPr>
          <w:sz w:val="24"/>
          <w:szCs w:val="24"/>
        </w:rPr>
      </w:pPr>
    </w:p>
    <w:p w14:paraId="00000056" w14:textId="77777777" w:rsidR="000D7515" w:rsidRPr="007D6E20" w:rsidRDefault="007D6E20">
      <w:pPr>
        <w:bidi/>
        <w:jc w:val="both"/>
        <w:rPr>
          <w:bCs/>
          <w:sz w:val="24"/>
          <w:szCs w:val="24"/>
        </w:rPr>
      </w:pPr>
      <w:r w:rsidRPr="007D6E20">
        <w:rPr>
          <w:bCs/>
          <w:sz w:val="24"/>
          <w:szCs w:val="24"/>
          <w:rtl/>
        </w:rPr>
        <w:t>ראשי תיבות</w:t>
      </w:r>
    </w:p>
    <w:p w14:paraId="00000057" w14:textId="77777777" w:rsidR="000D7515" w:rsidRDefault="007D6E20">
      <w:pPr>
        <w:bidi/>
        <w:jc w:val="both"/>
        <w:rPr>
          <w:sz w:val="24"/>
          <w:szCs w:val="24"/>
        </w:rPr>
      </w:pPr>
      <w:proofErr w:type="spellStart"/>
      <w:r>
        <w:rPr>
          <w:sz w:val="24"/>
          <w:szCs w:val="24"/>
          <w:rtl/>
        </w:rPr>
        <w:t>אגרו"מ</w:t>
      </w:r>
      <w:proofErr w:type="spellEnd"/>
      <w:r>
        <w:rPr>
          <w:sz w:val="24"/>
          <w:szCs w:val="24"/>
          <w:rtl/>
        </w:rPr>
        <w:t xml:space="preserve"> - אגרות משה (הרב </w:t>
      </w:r>
      <w:proofErr w:type="spellStart"/>
      <w:r>
        <w:rPr>
          <w:sz w:val="24"/>
          <w:szCs w:val="24"/>
          <w:rtl/>
        </w:rPr>
        <w:t>פיינשטיין</w:t>
      </w:r>
      <w:proofErr w:type="spellEnd"/>
      <w:r>
        <w:rPr>
          <w:sz w:val="24"/>
          <w:szCs w:val="24"/>
          <w:rtl/>
        </w:rPr>
        <w:t xml:space="preserve">). </w:t>
      </w:r>
      <w:proofErr w:type="spellStart"/>
      <w:r>
        <w:rPr>
          <w:sz w:val="24"/>
          <w:szCs w:val="24"/>
          <w:rtl/>
        </w:rPr>
        <w:t>יבי"א</w:t>
      </w:r>
      <w:proofErr w:type="spellEnd"/>
      <w:r>
        <w:rPr>
          <w:sz w:val="24"/>
          <w:szCs w:val="24"/>
          <w:rtl/>
        </w:rPr>
        <w:t xml:space="preserve"> - יביע אומר, </w:t>
      </w:r>
      <w:proofErr w:type="spellStart"/>
      <w:r>
        <w:rPr>
          <w:sz w:val="24"/>
          <w:szCs w:val="24"/>
          <w:rtl/>
        </w:rPr>
        <w:t>יחו"ד</w:t>
      </w:r>
      <w:proofErr w:type="spellEnd"/>
      <w:r>
        <w:rPr>
          <w:sz w:val="24"/>
          <w:szCs w:val="24"/>
          <w:rtl/>
        </w:rPr>
        <w:t xml:space="preserve"> - </w:t>
      </w:r>
      <w:proofErr w:type="spellStart"/>
      <w:r>
        <w:rPr>
          <w:sz w:val="24"/>
          <w:szCs w:val="24"/>
          <w:rtl/>
        </w:rPr>
        <w:t>יחוה</w:t>
      </w:r>
      <w:proofErr w:type="spellEnd"/>
      <w:r>
        <w:rPr>
          <w:sz w:val="24"/>
          <w:szCs w:val="24"/>
          <w:rtl/>
        </w:rPr>
        <w:t xml:space="preserve"> דעת (הרב עובדיה). </w:t>
      </w:r>
      <w:proofErr w:type="spellStart"/>
      <w:r>
        <w:rPr>
          <w:sz w:val="24"/>
          <w:szCs w:val="24"/>
          <w:rtl/>
        </w:rPr>
        <w:t>שש"כ</w:t>
      </w:r>
      <w:proofErr w:type="spellEnd"/>
      <w:r>
        <w:rPr>
          <w:sz w:val="24"/>
          <w:szCs w:val="24"/>
          <w:rtl/>
        </w:rPr>
        <w:t xml:space="preserve"> - שמירת שבת כהלכתה (הרב </w:t>
      </w:r>
      <w:proofErr w:type="spellStart"/>
      <w:r>
        <w:rPr>
          <w:sz w:val="24"/>
          <w:szCs w:val="24"/>
          <w:rtl/>
        </w:rPr>
        <w:t>נויבירט</w:t>
      </w:r>
      <w:proofErr w:type="spellEnd"/>
      <w:r>
        <w:rPr>
          <w:sz w:val="24"/>
          <w:szCs w:val="24"/>
          <w:rtl/>
        </w:rPr>
        <w:t xml:space="preserve">). </w:t>
      </w:r>
      <w:proofErr w:type="spellStart"/>
      <w:r>
        <w:rPr>
          <w:sz w:val="24"/>
          <w:szCs w:val="24"/>
          <w:rtl/>
        </w:rPr>
        <w:t>משנ"ב</w:t>
      </w:r>
      <w:proofErr w:type="spellEnd"/>
      <w:r>
        <w:rPr>
          <w:sz w:val="24"/>
          <w:szCs w:val="24"/>
          <w:rtl/>
        </w:rPr>
        <w:t xml:space="preserve"> - משנה ברורה. </w:t>
      </w:r>
      <w:proofErr w:type="spellStart"/>
      <w:r>
        <w:rPr>
          <w:sz w:val="24"/>
          <w:szCs w:val="24"/>
          <w:rtl/>
        </w:rPr>
        <w:t>ערי"ש</w:t>
      </w:r>
      <w:proofErr w:type="spellEnd"/>
      <w:r>
        <w:rPr>
          <w:sz w:val="24"/>
          <w:szCs w:val="24"/>
          <w:rtl/>
        </w:rPr>
        <w:t xml:space="preserve"> - עריכת שלחן (הרב קרח). </w:t>
      </w:r>
      <w:proofErr w:type="spellStart"/>
      <w:r>
        <w:rPr>
          <w:sz w:val="24"/>
          <w:szCs w:val="24"/>
          <w:rtl/>
        </w:rPr>
        <w:t>פנה"ל</w:t>
      </w:r>
      <w:proofErr w:type="spellEnd"/>
      <w:r>
        <w:rPr>
          <w:sz w:val="24"/>
          <w:szCs w:val="24"/>
          <w:rtl/>
        </w:rPr>
        <w:t xml:space="preserve"> - פניני הלכה (הרב מלמד). שע"ה - שולחן ערוך המקוצר (הרב </w:t>
      </w:r>
      <w:proofErr w:type="spellStart"/>
      <w:r>
        <w:rPr>
          <w:sz w:val="24"/>
          <w:szCs w:val="24"/>
          <w:rtl/>
        </w:rPr>
        <w:t>רצאבי</w:t>
      </w:r>
      <w:proofErr w:type="spellEnd"/>
      <w:r>
        <w:rPr>
          <w:sz w:val="24"/>
          <w:szCs w:val="24"/>
          <w:rtl/>
        </w:rPr>
        <w:t xml:space="preserve">). </w:t>
      </w:r>
      <w:proofErr w:type="spellStart"/>
      <w:r>
        <w:rPr>
          <w:sz w:val="24"/>
          <w:szCs w:val="24"/>
          <w:rtl/>
        </w:rPr>
        <w:t>ס"ק</w:t>
      </w:r>
      <w:proofErr w:type="spellEnd"/>
      <w:r>
        <w:rPr>
          <w:sz w:val="24"/>
          <w:szCs w:val="24"/>
          <w:rtl/>
        </w:rPr>
        <w:t xml:space="preserve"> - סעיף קטן.</w:t>
      </w:r>
    </w:p>
    <w:p w14:paraId="00000058" w14:textId="77777777" w:rsidR="000D7515" w:rsidRDefault="000D7515">
      <w:pPr>
        <w:bidi/>
        <w:jc w:val="both"/>
        <w:rPr>
          <w:sz w:val="24"/>
          <w:szCs w:val="24"/>
        </w:rPr>
      </w:pPr>
    </w:p>
    <w:p w14:paraId="00000059" w14:textId="77777777" w:rsidR="000D7515" w:rsidRPr="007D6E20" w:rsidRDefault="007D6E20">
      <w:pPr>
        <w:bidi/>
        <w:jc w:val="both"/>
        <w:rPr>
          <w:bCs/>
          <w:sz w:val="24"/>
          <w:szCs w:val="24"/>
        </w:rPr>
      </w:pPr>
      <w:r w:rsidRPr="007D6E20">
        <w:rPr>
          <w:bCs/>
          <w:sz w:val="24"/>
          <w:szCs w:val="24"/>
          <w:rtl/>
        </w:rPr>
        <w:t>יצירת קשר</w:t>
      </w:r>
    </w:p>
    <w:p w14:paraId="0000005A" w14:textId="78B74165" w:rsidR="000D7515" w:rsidRDefault="007D6E20">
      <w:pPr>
        <w:bidi/>
        <w:jc w:val="both"/>
        <w:rPr>
          <w:sz w:val="24"/>
          <w:szCs w:val="24"/>
        </w:rPr>
      </w:pPr>
      <w:r>
        <w:rPr>
          <w:sz w:val="24"/>
          <w:szCs w:val="24"/>
          <w:rtl/>
        </w:rPr>
        <w:t xml:space="preserve">ניתן לפנות בשמחה לתיקונים (מהותיים או טכניים), שאלות נוספות, הערות, הארות, מתן פידבק והצעות. טלפון: 0506355069. מייל: </w:t>
      </w:r>
      <w:hyperlink r:id="rId26">
        <w:r>
          <w:rPr>
            <w:color w:val="1155CC"/>
            <w:sz w:val="24"/>
            <w:szCs w:val="24"/>
            <w:u w:val="single"/>
          </w:rPr>
          <w:t>dvirgim@gmail.com</w:t>
        </w:r>
      </w:hyperlink>
    </w:p>
    <w:p w14:paraId="0000005B" w14:textId="77777777" w:rsidR="000D7515" w:rsidRDefault="007D6E20">
      <w:pPr>
        <w:bidi/>
        <w:jc w:val="both"/>
        <w:rPr>
          <w:sz w:val="24"/>
          <w:szCs w:val="24"/>
        </w:rPr>
      </w:pPr>
      <w:r>
        <w:rPr>
          <w:sz w:val="24"/>
          <w:szCs w:val="24"/>
          <w:rtl/>
        </w:rPr>
        <w:t>אם במהלך השבת נתקלתם בבעיות שלא התייחסנו אליהן – פנו אלינו. נשמח להתייחס אליהן בקובץ, לתועלת השנים הבאות.</w:t>
      </w:r>
    </w:p>
    <w:sectPr w:rsidR="000D7515">
      <w:footerReference w:type="default" r:id="rId2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24DE4" w14:textId="77777777" w:rsidR="007D6E20" w:rsidRDefault="007D6E20">
      <w:pPr>
        <w:spacing w:line="240" w:lineRule="auto"/>
      </w:pPr>
      <w:r>
        <w:separator/>
      </w:r>
    </w:p>
  </w:endnote>
  <w:endnote w:type="continuationSeparator" w:id="0">
    <w:p w14:paraId="0C225B72" w14:textId="77777777" w:rsidR="007D6E20" w:rsidRDefault="007D6E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erif Hebrew">
    <w:panose1 w:val="02020502060505020204"/>
    <w:charset w:val="B1"/>
    <w:family w:val="roman"/>
    <w:pitch w:val="variable"/>
    <w:sig w:usb0="80000803" w:usb1="40002002" w:usb2="00000000" w:usb3="00000000" w:csb0="00000020" w:csb1="00000000"/>
    <w:embedRegular r:id="rId3" w:fontKey="{00000000-0000-0000-0000-000000000000}"/>
    <w:embedBold r:id="rId4" w:fontKey="{00000000-0000-0000-0000-000000000000}"/>
  </w:font>
  <w:font w:name="Noto Serif Hebrew SemiBold">
    <w:charset w:val="00"/>
    <w:family w:val="auto"/>
    <w:pitch w:val="default"/>
    <w:embedRegular r:id="rId5" w:fontKey="{C9FFAD2E-35AE-BB4C-A78F-AA5E67025895}"/>
    <w:embedBold r:id="rId6" w:fontKey="{192BD809-C65A-7A4F-A91B-E578D718020C}"/>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1" w14:textId="179453E7" w:rsidR="000D7515" w:rsidRDefault="007D6E20">
    <w:pPr>
      <w:bidi/>
      <w:jc w:val="center"/>
    </w:pPr>
    <w:r>
      <w:fldChar w:fldCharType="begin"/>
    </w:r>
    <w:r>
      <w:instrText>PAGE</w:instrText>
    </w:r>
    <w:r>
      <w:fldChar w:fldCharType="separate"/>
    </w:r>
    <w:r w:rsidR="00AA50F5">
      <w:rPr>
        <w:noProof/>
        <w:rtl/>
        <w:lang w:bidi="he"/>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B4A74" w14:textId="77777777" w:rsidR="007D6E20" w:rsidRDefault="007D6E20">
      <w:pPr>
        <w:spacing w:line="240" w:lineRule="auto"/>
      </w:pPr>
      <w:r>
        <w:separator/>
      </w:r>
    </w:p>
  </w:footnote>
  <w:footnote w:type="continuationSeparator" w:id="0">
    <w:p w14:paraId="51DDB17E" w14:textId="77777777" w:rsidR="007D6E20" w:rsidRDefault="007D6E20">
      <w:pPr>
        <w:spacing w:line="240" w:lineRule="auto"/>
      </w:pPr>
      <w:r>
        <w:continuationSeparator/>
      </w:r>
    </w:p>
  </w:footnote>
  <w:footnote w:id="1">
    <w:p w14:paraId="0000005C" w14:textId="77777777" w:rsidR="000D7515" w:rsidRDefault="007D6E20">
      <w:pPr>
        <w:bidi/>
        <w:spacing w:line="240" w:lineRule="auto"/>
        <w:jc w:val="both"/>
      </w:pPr>
      <w:r>
        <w:rPr>
          <w:vertAlign w:val="superscript"/>
        </w:rPr>
        <w:footnoteRef/>
      </w:r>
      <w:r>
        <w:rPr>
          <w:rtl/>
        </w:rPr>
        <w:t xml:space="preserve"> מנחת שלמה (סימן ד) כתב שלאשכנזים אין למזוג, ובאור לציון (ב, כ, יח) כתב שאפשר למזוג, ובלבד שיהיה רוב מיץ. אך כתב שיש לשים לב שיש מיצים שכבר הוסיפו להם מים ושאר חומרים.</w:t>
      </w:r>
    </w:p>
  </w:footnote>
  <w:footnote w:id="2">
    <w:p w14:paraId="0000005D" w14:textId="77777777" w:rsidR="000D7515" w:rsidRDefault="007D6E20">
      <w:pPr>
        <w:bidi/>
        <w:spacing w:line="240" w:lineRule="auto"/>
        <w:jc w:val="both"/>
      </w:pPr>
      <w:r>
        <w:rPr>
          <w:vertAlign w:val="superscript"/>
        </w:rPr>
        <w:footnoteRef/>
      </w:r>
      <w:r>
        <w:rPr>
          <w:rtl/>
        </w:rPr>
        <w:t xml:space="preserve"> פשט הפוסקים הוא שאפשר לקדש על חמר מדינה רק כאשר אין מצוי יין באיזור, וכך נהגו התימנים (שת"ז קפב, ו. וראה בערי"ש רצו, י שהקל בהבדלה). בדורות אלו נהגו להקל בזה, ולקדש עליו גם כשיש יין בנמצא. לגבי הגדרת חמר מדינה, רבו הדעות: </w:t>
      </w:r>
    </w:p>
    <w:p w14:paraId="0000005E" w14:textId="77777777" w:rsidR="000D7515" w:rsidRDefault="007D6E20">
      <w:pPr>
        <w:bidi/>
        <w:spacing w:line="240" w:lineRule="auto"/>
        <w:jc w:val="both"/>
      </w:pPr>
      <w:r>
        <w:rPr>
          <w:rtl/>
        </w:rPr>
        <w:t>לפי הרב עובדיה יוסף דווקא משקה אלכוהולי (יחו"ד ב, לט). כל משקה חשוב ששותים מפני חשיבותו, ולא כי צמאים, כדוגמת קפה ותה (ציץ אליעזר, ח, טז; אגרו"מ או"ח ב, עה), ואולי אפילו עדיף על פני משקה משכר (כך משמע בתשובות והנהגות, ד, עז). ויש שהחשיבו כל משקה שהוא, מלבד מים (מלומדי מלחמה, פב). לפי הרב אשר וייס אין כיום משקה שנחשב חמר מדינה (מנחת אשר, קידוש במקום סעודה [יתרו]).</w:t>
      </w:r>
    </w:p>
  </w:footnote>
  <w:footnote w:id="3">
    <w:p w14:paraId="0000005F" w14:textId="77777777" w:rsidR="000D7515" w:rsidRDefault="007D6E20">
      <w:pPr>
        <w:bidi/>
        <w:spacing w:line="240" w:lineRule="auto"/>
        <w:jc w:val="both"/>
      </w:pPr>
      <w:r>
        <w:rPr>
          <w:vertAlign w:val="superscript"/>
        </w:rPr>
        <w:footnoteRef/>
      </w:r>
      <w:r>
        <w:rPr>
          <w:rtl/>
        </w:rPr>
        <w:t xml:space="preserve"> להרחבה ראה הרחבות לפניני הלכה שבת, ט, ה, ו.</w:t>
      </w:r>
    </w:p>
  </w:footnote>
  <w:footnote w:id="4">
    <w:p w14:paraId="00000060" w14:textId="77777777" w:rsidR="000D7515" w:rsidRDefault="007D6E20">
      <w:pPr>
        <w:pBdr>
          <w:top w:val="nil"/>
          <w:left w:val="nil"/>
          <w:bottom w:val="nil"/>
          <w:right w:val="nil"/>
          <w:between w:val="nil"/>
        </w:pBdr>
        <w:bidi/>
        <w:spacing w:line="240" w:lineRule="auto"/>
        <w:jc w:val="both"/>
        <w:rPr>
          <w:color w:val="000000"/>
        </w:rPr>
      </w:pPr>
      <w:r>
        <w:rPr>
          <w:vertAlign w:val="superscript"/>
        </w:rPr>
        <w:footnoteRef/>
      </w:r>
      <w:r>
        <w:rPr>
          <w:color w:val="000000"/>
          <w:rtl/>
        </w:rPr>
        <w:t xml:space="preserve"> הבאנו את הנוסחים המתומצתים, בכדי לא להאריך (בקידוש הערב, הברכה בנוסח עדות המזרח. מעין שלוש בנוסח ספרד, והבדלה בנוסח תימן).</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515"/>
    <w:rsid w:val="00050AB2"/>
    <w:rsid w:val="000D7515"/>
    <w:rsid w:val="00400CAF"/>
    <w:rsid w:val="00685053"/>
    <w:rsid w:val="007D6E20"/>
    <w:rsid w:val="00AA50F5"/>
    <w:rsid w:val="00B6187A"/>
    <w:rsid w:val="00D062CC"/>
    <w:rsid w:val="00E5033F"/>
    <w:rsid w:val="00FE52E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31881E7A"/>
  <w15:docId w15:val="{DCB744B3-1AF0-F446-91D0-877FA89D5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he" w:eastAsia="en-US"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716A"/>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bidi/>
      <w:spacing w:before="360" w:after="120"/>
      <w:outlineLvl w:val="1"/>
    </w:pPr>
    <w:rPr>
      <w:b/>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character" w:styleId="a5">
    <w:name w:val="annotation reference"/>
    <w:basedOn w:val="a0"/>
    <w:uiPriority w:val="99"/>
    <w:semiHidden/>
    <w:unhideWhenUsed/>
    <w:rsid w:val="00CF1EC2"/>
    <w:rPr>
      <w:sz w:val="16"/>
      <w:szCs w:val="16"/>
    </w:rPr>
  </w:style>
  <w:style w:type="paragraph" w:styleId="a6">
    <w:name w:val="annotation text"/>
    <w:basedOn w:val="a"/>
    <w:link w:val="a7"/>
    <w:uiPriority w:val="99"/>
    <w:unhideWhenUsed/>
    <w:rsid w:val="00CF1EC2"/>
    <w:pPr>
      <w:spacing w:line="240" w:lineRule="auto"/>
    </w:pPr>
    <w:rPr>
      <w:sz w:val="20"/>
      <w:szCs w:val="20"/>
    </w:rPr>
  </w:style>
  <w:style w:type="character" w:customStyle="1" w:styleId="a7">
    <w:name w:val="טקסט הערה תו"/>
    <w:basedOn w:val="a0"/>
    <w:link w:val="a6"/>
    <w:uiPriority w:val="99"/>
    <w:rsid w:val="00CF1EC2"/>
    <w:rPr>
      <w:sz w:val="20"/>
      <w:szCs w:val="20"/>
    </w:rPr>
  </w:style>
  <w:style w:type="paragraph" w:styleId="a8">
    <w:name w:val="annotation subject"/>
    <w:basedOn w:val="a6"/>
    <w:next w:val="a6"/>
    <w:link w:val="a9"/>
    <w:uiPriority w:val="99"/>
    <w:semiHidden/>
    <w:unhideWhenUsed/>
    <w:rsid w:val="00CF1EC2"/>
    <w:rPr>
      <w:b/>
      <w:bCs/>
    </w:rPr>
  </w:style>
  <w:style w:type="character" w:customStyle="1" w:styleId="a9">
    <w:name w:val="נושא הערה תו"/>
    <w:basedOn w:val="a7"/>
    <w:link w:val="a8"/>
    <w:uiPriority w:val="99"/>
    <w:semiHidden/>
    <w:rsid w:val="00CF1EC2"/>
    <w:rPr>
      <w:b/>
      <w:bCs/>
      <w:sz w:val="20"/>
      <w:szCs w:val="20"/>
    </w:rPr>
  </w:style>
  <w:style w:type="paragraph" w:styleId="aa">
    <w:name w:val="Revision"/>
    <w:hidden/>
    <w:uiPriority w:val="99"/>
    <w:semiHidden/>
    <w:rsid w:val="00020A64"/>
    <w:pPr>
      <w:spacing w:line="240" w:lineRule="auto"/>
    </w:pPr>
  </w:style>
  <w:style w:type="paragraph" w:styleId="ab">
    <w:name w:val="footnote text"/>
    <w:basedOn w:val="a"/>
    <w:link w:val="ac"/>
    <w:uiPriority w:val="99"/>
    <w:semiHidden/>
    <w:unhideWhenUsed/>
    <w:rsid w:val="00954044"/>
    <w:pPr>
      <w:spacing w:line="240" w:lineRule="auto"/>
    </w:pPr>
    <w:rPr>
      <w:sz w:val="20"/>
      <w:szCs w:val="20"/>
    </w:rPr>
  </w:style>
  <w:style w:type="character" w:customStyle="1" w:styleId="ac">
    <w:name w:val="טקסט הערת שוליים תו"/>
    <w:basedOn w:val="a0"/>
    <w:link w:val="ab"/>
    <w:uiPriority w:val="99"/>
    <w:semiHidden/>
    <w:rsid w:val="00954044"/>
    <w:rPr>
      <w:sz w:val="20"/>
      <w:szCs w:val="20"/>
    </w:rPr>
  </w:style>
  <w:style w:type="character" w:styleId="ad">
    <w:name w:val="footnote reference"/>
    <w:basedOn w:val="a0"/>
    <w:uiPriority w:val="99"/>
    <w:semiHidden/>
    <w:unhideWhenUsed/>
    <w:rsid w:val="00954044"/>
    <w:rPr>
      <w:vertAlign w:val="superscript"/>
    </w:rPr>
  </w:style>
  <w:style w:type="character" w:styleId="Hyperlink">
    <w:name w:val="Hyperlink"/>
    <w:basedOn w:val="a0"/>
    <w:uiPriority w:val="99"/>
    <w:unhideWhenUsed/>
    <w:rsid w:val="00050AB2"/>
    <w:rPr>
      <w:color w:val="0000FF" w:themeColor="hyperlink"/>
      <w:u w:val="single"/>
    </w:rPr>
  </w:style>
  <w:style w:type="character" w:styleId="ae">
    <w:name w:val="Unresolved Mention"/>
    <w:basedOn w:val="a0"/>
    <w:uiPriority w:val="99"/>
    <w:semiHidden/>
    <w:unhideWhenUsed/>
    <w:rsid w:val="00050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pitucheyhotam.pythonanywhere.com/he/create_pdf_form" TargetMode="External" /><Relationship Id="rId13" Type="http://schemas.openxmlformats.org/officeDocument/2006/relationships/hyperlink" Target="https://drive.google.com/file/d/10WGF2plGSFFI9nUMiaM7wMnCmBblP-3_/view?usp=sharing" TargetMode="External" /><Relationship Id="rId18" Type="http://schemas.openxmlformats.org/officeDocument/2006/relationships/hyperlink" Target="https://drive.google.com/file/d/10WGF2plGSFFI9nUMiaM7wMnCmBblP-3_/view?usp=sharing" TargetMode="External" /><Relationship Id="rId26" Type="http://schemas.openxmlformats.org/officeDocument/2006/relationships/hyperlink" Target="mailto:dvirgim@gmail.com" TargetMode="External" /><Relationship Id="rId3" Type="http://schemas.openxmlformats.org/officeDocument/2006/relationships/settings" Target="settings.xml" /><Relationship Id="rId21" Type="http://schemas.openxmlformats.org/officeDocument/2006/relationships/hyperlink" Target="https://drive.google.com/file/d/10WGF2plGSFFI9nUMiaM7wMnCmBblP-3_/view?usp=sharing" TargetMode="External" /><Relationship Id="rId7" Type="http://schemas.openxmlformats.org/officeDocument/2006/relationships/hyperlink" Target="https://docs.google.com/document/d/1o3sO8xaNLfpKZ278-htW8sA7Tz1Zbf8c/edit?usp=drivesdk&amp;ouid=110162295940140868296&amp;rtpof=true&amp;sd=true" TargetMode="External" /><Relationship Id="rId12" Type="http://schemas.openxmlformats.org/officeDocument/2006/relationships/hyperlink" Target="https://drive.google.com/file/d/10WGF2plGSFFI9nUMiaM7wMnCmBblP-3_/view?usp=sharing" TargetMode="External" /><Relationship Id="rId17" Type="http://schemas.openxmlformats.org/officeDocument/2006/relationships/hyperlink" Target="https://drive.google.com/file/d/10WGF2plGSFFI9nUMiaM7wMnCmBblP-3_/view?usp=sharing" TargetMode="External" /><Relationship Id="rId25" Type="http://schemas.openxmlformats.org/officeDocument/2006/relationships/hyperlink" Target="https://drive.google.com/file/d/10WGF2plGSFFI9nUMiaM7wMnCmBblP-3_/view?usp=sharing" TargetMode="External" /><Relationship Id="rId2" Type="http://schemas.openxmlformats.org/officeDocument/2006/relationships/styles" Target="styles.xml" /><Relationship Id="rId16" Type="http://schemas.openxmlformats.org/officeDocument/2006/relationships/hyperlink" Target="https://drive.google.com/file/d/10WGF2plGSFFI9nUMiaM7wMnCmBblP-3_/view?usp=sharing" TargetMode="External" /><Relationship Id="rId20" Type="http://schemas.openxmlformats.org/officeDocument/2006/relationships/hyperlink" Target="https://drive.google.com/file/d/10WGF2plGSFFI9nUMiaM7wMnCmBblP-3_/view?usp=sharing"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rive.google.com/file/d/10WGF2plGSFFI9nUMiaM7wMnCmBblP-3_/view?usp=sharing" TargetMode="External" /><Relationship Id="rId24" Type="http://schemas.openxmlformats.org/officeDocument/2006/relationships/hyperlink" Target="https://drive.google.com/file/d/10WGF2plGSFFI9nUMiaM7wMnCmBblP-3_/view?usp=sharing" TargetMode="External" /><Relationship Id="rId5" Type="http://schemas.openxmlformats.org/officeDocument/2006/relationships/footnotes" Target="footnotes.xml" /><Relationship Id="rId15" Type="http://schemas.openxmlformats.org/officeDocument/2006/relationships/hyperlink" Target="https://drive.google.com/file/d/10WGF2plGSFFI9nUMiaM7wMnCmBblP-3_/view?usp=sharing" TargetMode="External" /><Relationship Id="rId23" Type="http://schemas.openxmlformats.org/officeDocument/2006/relationships/hyperlink" Target="https://drive.google.com/file/d/10WGF2plGSFFI9nUMiaM7wMnCmBblP-3_/view?usp=sharing" TargetMode="External" /><Relationship Id="rId28" Type="http://schemas.openxmlformats.org/officeDocument/2006/relationships/fontTable" Target="fontTable.xml" /><Relationship Id="rId10" Type="http://schemas.openxmlformats.org/officeDocument/2006/relationships/hyperlink" Target="https://pitucheyhotam.pythonanywhere.com/he/create_pdf_form" TargetMode="External" /><Relationship Id="rId19" Type="http://schemas.openxmlformats.org/officeDocument/2006/relationships/hyperlink" Target="https://drive.google.com/file/d/10WGF2plGSFFI9nUMiaM7wMnCmBblP-3_/view?usp=sharing" TargetMode="External" /><Relationship Id="rId4" Type="http://schemas.openxmlformats.org/officeDocument/2006/relationships/webSettings" Target="webSettings.xml" /><Relationship Id="rId9" Type="http://schemas.openxmlformats.org/officeDocument/2006/relationships/hyperlink" Target="https://pitucheyhotam.pythonanywhere.com/he/create_pdf_form" TargetMode="External" /><Relationship Id="rId14" Type="http://schemas.openxmlformats.org/officeDocument/2006/relationships/hyperlink" Target="https://drive.google.com/file/d/10WGF2plGSFFI9nUMiaM7wMnCmBblP-3_/view?usp=sharing" TargetMode="External" /><Relationship Id="rId22" Type="http://schemas.openxmlformats.org/officeDocument/2006/relationships/hyperlink" Target="https://drive.google.com/file/d/10WGF2plGSFFI9nUMiaM7wMnCmBblP-3_/view?usp=sharing" TargetMode="External" /><Relationship Id="rId27" Type="http://schemas.openxmlformats.org/officeDocument/2006/relationships/footer" Target="footer1.xml" /></Relationships>
</file>

<file path=word/_rels/fontTable.xml.rels><?xml version="1.0" encoding="UTF-8" standalone="yes"?>
<Relationships xmlns="http://schemas.openxmlformats.org/package/2006/relationships"><Relationship Id="rId3" Type="http://schemas.openxmlformats.org/officeDocument/2006/relationships/font" Target="fonts/NotoSerifHebrew-regular.ttf" /><Relationship Id="rId6" Type="http://schemas.openxmlformats.org/officeDocument/2006/relationships/font" Target="fonts/font2.odttf" /><Relationship Id="rId5" Type="http://schemas.openxmlformats.org/officeDocument/2006/relationships/font" Target="fonts/font1.odttf" /><Relationship Id="rId4" Type="http://schemas.openxmlformats.org/officeDocument/2006/relationships/font" Target="fonts/NotoSerifHebrew-bol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AQDV2TX44iNGz9FlZD52oad8Sg==">CgMxLjAyCGguZ2pkZ3hzMgloLjMwajB6bGwyCWguMWZvYjl0ZTIJaC4zem55c2g3MgloLjJldDkycDAyCGgudHlqY3d0MgloLjNkeTZ2a20yCWguMXQzaDVzZjIJaC40ZDM0b2c4OAByITFvM3NPOHhhTkxmcEtaMjc4LWh0VzhzQTdUejFaYmY4Yw==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1943</Words>
  <Characters>9718</Characters>
  <Application>Microsoft Office Word</Application>
  <DocSecurity>0</DocSecurity>
  <Lines>80</Lines>
  <Paragraphs>23</Paragraphs>
  <ScaleCrop>false</ScaleCrop>
  <Company/>
  <LinksUpToDate>false</LinksUpToDate>
  <CharactersWithSpaces>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dvirgim@gmail.com</cp:lastModifiedBy>
  <cp:revision>7</cp:revision>
  <dcterms:created xsi:type="dcterms:W3CDTF">2024-11-03T13:54:00Z</dcterms:created>
  <dcterms:modified xsi:type="dcterms:W3CDTF">2024-11-27T12:27:00Z</dcterms:modified>
</cp:coreProperties>
</file>